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13</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2419264</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w:t>
      </w:r>
      <w:r>
        <w:rPr>
          <w:rFonts w:ascii="Arial" w:hAnsi="Arial" w:eastAsia="宋体" w:cs="Arial"/>
          <w:b/>
          <w:sz w:val="24"/>
          <w:szCs w:val="24"/>
          <w:lang w:eastAsia="zh-CN"/>
        </w:rPr>
        <w: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bookmarkStart w:id="1" w:name="_GoBack"/>
      <w:bookmarkEnd w:id="1"/>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ATG</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7.10.4</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103 meeting</w:t>
      </w:r>
      <w:r>
        <w:rPr>
          <w:rFonts w:hint="default" w:ascii="Arial" w:hAnsi="Arial" w:cs="Arial"/>
          <w:lang w:val="en-US" w:eastAsia="zh-CN"/>
        </w:rPr>
        <w:t xml:space="preserve">, </w:t>
      </w:r>
      <w:r>
        <w:rPr>
          <w:rFonts w:hint="eastAsia" w:cs="Arial"/>
          <w:lang w:val="en-US" w:eastAsia="zh-CN"/>
        </w:rPr>
        <w:t xml:space="preserve">a R19 WI led by RAN4 on NR Rel-19 ATG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ageBreakBefore w:val="0"/>
              <w:widowControl w:val="0"/>
              <w:kinsoku/>
              <w:wordWrap/>
              <w:topLinePunct w:val="0"/>
              <w:bidi w:val="0"/>
              <w:snapToGrid/>
              <w:spacing w:line="240" w:lineRule="auto"/>
              <w:rPr>
                <w:rFonts w:hint="eastAsia"/>
                <w:lang w:eastAsia="zh-CN"/>
              </w:rPr>
            </w:pPr>
            <w:r>
              <w:rPr>
                <w:rFonts w:hint="eastAsia"/>
                <w:lang w:eastAsia="zh-CN"/>
              </w:rPr>
              <w:t>T</w:t>
            </w:r>
            <w:r>
              <w:rPr>
                <w:lang w:eastAsia="zh-CN"/>
              </w:rPr>
              <w:t>he core part of the work item includes:</w:t>
            </w:r>
          </w:p>
          <w:p>
            <w:pPr>
              <w:pStyle w:val="29"/>
              <w:pageBreakBefore w:val="0"/>
              <w:widowControl w:val="0"/>
              <w:numPr>
                <w:ilvl w:val="0"/>
                <w:numId w:val="5"/>
              </w:numPr>
              <w:kinsoku/>
              <w:wordWrap/>
              <w:topLinePunct w:val="0"/>
              <w:bidi w:val="0"/>
              <w:snapToGrid/>
              <w:spacing w:after="0" w:line="240" w:lineRule="auto"/>
              <w:rPr>
                <w:rFonts w:eastAsia="DengXian"/>
                <w:lang w:eastAsia="zh-CN"/>
              </w:rPr>
            </w:pPr>
            <w:r>
              <w:rPr>
                <w:rFonts w:eastAsia="DengXian"/>
                <w:lang w:eastAsia="zh-CN"/>
              </w:rPr>
              <w:t>Specify the RF and RRM core requirements for intra-band co-located and inter-band co-located DL CA</w:t>
            </w:r>
            <w:r>
              <w:rPr>
                <w:rFonts w:hint="eastAsia" w:eastAsia="DengXian"/>
                <w:lang w:eastAsia="zh-CN"/>
              </w:rPr>
              <w:t xml:space="preserve"> [RAN4]</w:t>
            </w:r>
            <w:r>
              <w:rPr>
                <w:rFonts w:eastAsia="DengXian"/>
                <w:lang w:eastAsia="zh-CN"/>
              </w:rPr>
              <w:t>:</w:t>
            </w:r>
            <w:r>
              <w:rPr>
                <w:rFonts w:hint="eastAsia" w:eastAsia="DengXian"/>
                <w:lang w:val="en-US" w:eastAsia="zh-CN"/>
              </w:rPr>
              <w:t xml:space="preserve"> </w:t>
            </w:r>
            <w:r>
              <w:rPr>
                <w:rFonts w:hint="eastAsia" w:eastAsia="DengXian"/>
                <w:color w:val="0000FF"/>
                <w:lang w:val="en-US" w:eastAsia="zh-CN"/>
              </w:rPr>
              <w:t xml:space="preserve"> </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 intra-band contiguous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n79</w:t>
            </w:r>
          </w:p>
          <w:p>
            <w:pPr>
              <w:pStyle w:val="29"/>
              <w:pageBreakBefore w:val="0"/>
              <w:widowControl w:val="0"/>
              <w:numPr>
                <w:ilvl w:val="1"/>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eastAsia="DengXian"/>
                <w:lang w:eastAsia="zh-CN"/>
              </w:rPr>
              <w:t>FR1+FR1 inter-band CA</w:t>
            </w:r>
          </w:p>
          <w:p>
            <w:pPr>
              <w:pStyle w:val="29"/>
              <w:pageBreakBefore w:val="0"/>
              <w:widowControl w:val="0"/>
              <w:numPr>
                <w:ilvl w:val="2"/>
                <w:numId w:val="5"/>
              </w:numPr>
              <w:kinsoku/>
              <w:wordWrap/>
              <w:overflowPunct w:val="0"/>
              <w:topLinePunct w:val="0"/>
              <w:autoSpaceDE w:val="0"/>
              <w:autoSpaceDN w:val="0"/>
              <w:bidi w:val="0"/>
              <w:adjustRightInd w:val="0"/>
              <w:snapToGrid/>
              <w:spacing w:after="0" w:line="240" w:lineRule="auto"/>
              <w:textAlignment w:val="baseline"/>
              <w:rPr>
                <w:rFonts w:eastAsia="DengXian"/>
                <w:lang w:eastAsia="zh-CN"/>
              </w:rPr>
            </w:pPr>
            <w:r>
              <w:rPr>
                <w:rFonts w:hint="eastAsia" w:eastAsia="DengXian"/>
                <w:lang w:eastAsia="zh-CN"/>
              </w:rPr>
              <w:t>Example band combination: n3+n39</w:t>
            </w:r>
            <w:r>
              <w:rPr>
                <w:rFonts w:hint="eastAsia"/>
                <w:lang w:val="en-US" w:eastAsia="zh-CN"/>
              </w:rPr>
              <w:t xml:space="preserve"> </w:t>
            </w:r>
          </w:p>
          <w:p>
            <w:pPr>
              <w:pStyle w:val="29"/>
              <w:pageBreakBefore w:val="0"/>
              <w:widowControl w:val="0"/>
              <w:numPr>
                <w:ilvl w:val="0"/>
                <w:numId w:val="5"/>
              </w:numPr>
              <w:kinsoku/>
              <w:wordWrap/>
              <w:topLinePunct w:val="0"/>
              <w:bidi w:val="0"/>
              <w:snapToGrid/>
              <w:spacing w:after="0" w:line="240" w:lineRule="auto"/>
            </w:pPr>
            <w:r>
              <w:rPr>
                <w:rFonts w:eastAsia="DengXian"/>
                <w:lang w:eastAsia="zh-CN"/>
              </w:rPr>
              <w:t>Specify the RF requirements for support of UL MIMO with 2TX for single CC for UE.</w:t>
            </w:r>
            <w:r>
              <w:rPr>
                <w:rFonts w:hint="eastAsia" w:eastAsia="DengXian"/>
                <w:lang w:eastAsia="zh-CN"/>
              </w:rPr>
              <w:t xml:space="preserve"> [RAN4]</w:t>
            </w:r>
            <w:r>
              <w:rPr>
                <w:rFonts w:hint="eastAsia" w:eastAsia="DengXian"/>
                <w:lang w:val="en-US" w:eastAsia="zh-CN"/>
              </w:rPr>
              <w:t xml:space="preserve"> </w:t>
            </w:r>
          </w:p>
          <w:p>
            <w:pPr>
              <w:pStyle w:val="29"/>
              <w:pageBreakBefore w:val="0"/>
              <w:widowControl w:val="0"/>
              <w:numPr>
                <w:ilvl w:val="0"/>
                <w:numId w:val="5"/>
              </w:numPr>
              <w:kinsoku/>
              <w:wordWrap/>
              <w:topLinePunct w:val="0"/>
              <w:bidi w:val="0"/>
              <w:snapToGrid/>
              <w:spacing w:after="0" w:line="240" w:lineRule="auto"/>
              <w:rPr>
                <w:rFonts w:hint="eastAsia" w:ascii="Arial" w:hAnsi="Arial" w:cs="Arial"/>
                <w:sz w:val="20"/>
                <w:szCs w:val="20"/>
                <w:u w:val="none"/>
                <w:lang w:val="en-US" w:eastAsia="zh-CN"/>
              </w:rPr>
            </w:pPr>
            <w:r>
              <w:rPr>
                <w:rFonts w:hint="eastAsia" w:eastAsia="DengXian"/>
                <w:lang w:eastAsia="zh-CN"/>
              </w:rPr>
              <w:t>Specify signaling and UE capabilities if necessary [RAN2].</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Two main purpose behind the objectives are 1) Enhance throughput to meet ATG capacity demand; 2) Fully utilize operators</w:t>
      </w:r>
      <w:r>
        <w:rPr>
          <w:rFonts w:hint="default" w:cs="Arial"/>
          <w:lang w:val="en-US" w:eastAsia="zh-CN"/>
        </w:rPr>
        <w:t>’</w:t>
      </w:r>
      <w:r>
        <w:rPr>
          <w:rFonts w:hint="eastAsia" w:cs="Arial"/>
          <w:lang w:val="en-US" w:eastAsia="zh-CN"/>
        </w:rPr>
        <w:t xml:space="preserve"> spectrum especially for the fragment spectrum.</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R19 ATG is the continuation and extension of R18 ATG. During R18 ATG, RAN4 has studied and specified a set of RF and RRM solutions and requirements to contribute to the commercial application of providing stable wireless transmission for the aircraft. R18 progress is deemed as the basis of R19 further extension.</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During last RAN4 meeting, good progress were achieved around ATG RRM, the following agreements were approved and summarized in [2]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widowControl/>
              <w:kinsoku/>
              <w:wordWrap/>
              <w:overflowPunct/>
              <w:topLinePunct w:val="0"/>
              <w:autoSpaceDE/>
              <w:bidi w:val="0"/>
              <w:adjustRightInd/>
              <w:spacing w:before="0" w:after="0"/>
              <w:textAlignment w:val="auto"/>
              <w:rPr>
                <w:rFonts w:hint="default" w:eastAsia="宋体"/>
                <w:lang w:val="en-US" w:eastAsia="zh-CN"/>
              </w:rPr>
            </w:pPr>
            <w:r>
              <w:t xml:space="preserve">&lt;Sub-topic </w:t>
            </w:r>
            <w:r>
              <w:rPr>
                <w:rFonts w:hint="eastAsia" w:eastAsia="宋体"/>
                <w:lang w:val="en-US" w:eastAsia="zh-CN"/>
              </w:rPr>
              <w:t>1</w:t>
            </w:r>
            <w:r>
              <w:t>-</w:t>
            </w:r>
            <w:r>
              <w:rPr>
                <w:rFonts w:hint="eastAsia" w:eastAsia="宋体"/>
                <w:lang w:val="en-US" w:eastAsia="zh-CN"/>
              </w:rPr>
              <w:t>1</w:t>
            </w:r>
            <w:r>
              <w:t>&gt;</w:t>
            </w:r>
            <w:r>
              <w:rPr>
                <w:rFonts w:hint="eastAsia" w:eastAsia="宋体"/>
                <w:lang w:val="en-US" w:eastAsia="zh-CN"/>
              </w:rPr>
              <w:t xml:space="preserve"> General</w:t>
            </w:r>
          </w:p>
          <w:p>
            <w:pPr>
              <w:keepLines w:val="0"/>
              <w:pageBreakBefore w:val="0"/>
              <w:widowControl/>
              <w:kinsoku/>
              <w:wordWrap/>
              <w:overflowPunct/>
              <w:topLinePunct w:val="0"/>
              <w:autoSpaceDE/>
              <w:bidi w:val="0"/>
              <w:adjustRightInd/>
              <w:textAlignment w:val="auto"/>
              <w:rPr>
                <w:rFonts w:hint="eastAsia"/>
                <w:b/>
                <w:sz w:val="21"/>
                <w:szCs w:val="21"/>
                <w:u w:val="single"/>
                <w:lang w:val="en-US" w:eastAsia="zh-CN"/>
              </w:rPr>
            </w:pPr>
            <w:r>
              <w:rPr>
                <w:rFonts w:hint="eastAsia"/>
                <w:b/>
                <w:sz w:val="21"/>
                <w:szCs w:val="21"/>
                <w:u w:val="single"/>
                <w:lang w:val="en-US" w:eastAsia="zh-CN"/>
              </w:rPr>
              <w:t>Issue 1-1-1: Co-location signaling</w:t>
            </w:r>
          </w:p>
          <w:p>
            <w:pPr>
              <w:keepLines w:val="0"/>
              <w:pageBreakBefore w:val="0"/>
              <w:widowControl/>
              <w:kinsoku/>
              <w:wordWrap/>
              <w:overflowPunct/>
              <w:topLinePunct w:val="0"/>
              <w:autoSpaceDE/>
              <w:bidi w:val="0"/>
              <w:adjustRightInd/>
              <w:textAlignment w:val="auto"/>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No need to provide co-location information to ATG UE at least in Rel-19.</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sz w:val="21"/>
                <w:szCs w:val="21"/>
                <w:lang w:val="en-US" w:eastAsia="zh-CN"/>
              </w:rPr>
            </w:pPr>
            <w:r>
              <w:rPr>
                <w:rFonts w:eastAsia="等线"/>
                <w:kern w:val="2"/>
                <w:sz w:val="21"/>
                <w:szCs w:val="21"/>
                <w:highlight w:val="none"/>
                <w:lang w:val="en-US" w:eastAsia="zh-CN"/>
              </w:rPr>
              <w:t>Note: The co-located scenario will be captured in the CR.</w:t>
            </w:r>
          </w:p>
          <w:p>
            <w:pPr>
              <w:keepLines w:val="0"/>
              <w:pageBreakBefore w:val="0"/>
              <w:widowControl/>
              <w:kinsoku/>
              <w:wordWrap/>
              <w:overflowPunct/>
              <w:topLinePunct w:val="0"/>
              <w:autoSpaceDE/>
              <w:bidi w:val="0"/>
              <w:adjustRightInd/>
              <w:textAlignment w:val="auto"/>
              <w:rPr>
                <w:rFonts w:hint="eastAsia"/>
                <w:b/>
                <w:sz w:val="21"/>
                <w:szCs w:val="21"/>
                <w:u w:val="single"/>
                <w:lang w:val="en-US" w:eastAsia="zh-CN"/>
              </w:rPr>
            </w:pPr>
            <w:r>
              <w:rPr>
                <w:b/>
                <w:sz w:val="21"/>
                <w:szCs w:val="21"/>
                <w:u w:val="single"/>
                <w:lang w:eastAsia="ko-KR"/>
              </w:rPr>
              <w:t>Issue 1-1</w:t>
            </w:r>
            <w:r>
              <w:rPr>
                <w:rFonts w:hint="eastAsia"/>
                <w:b/>
                <w:sz w:val="21"/>
                <w:szCs w:val="21"/>
                <w:u w:val="single"/>
                <w:lang w:val="en-US" w:eastAsia="zh-CN"/>
              </w:rPr>
              <w:t>-2</w:t>
            </w:r>
            <w:r>
              <w:rPr>
                <w:b/>
                <w:sz w:val="21"/>
                <w:szCs w:val="21"/>
                <w:u w:val="single"/>
                <w:lang w:eastAsia="ko-KR"/>
              </w:rPr>
              <w:t xml:space="preserve">: </w:t>
            </w:r>
            <w:r>
              <w:rPr>
                <w:rFonts w:hint="eastAsia"/>
                <w:b/>
                <w:sz w:val="21"/>
                <w:szCs w:val="21"/>
                <w:u w:val="single"/>
                <w:lang w:val="en-US" w:eastAsia="zh-CN"/>
              </w:rPr>
              <w:t>UE antenna type for inter-band CA</w:t>
            </w:r>
          </w:p>
          <w:p>
            <w:pPr>
              <w:keepLines w:val="0"/>
              <w:pageBreakBefore w:val="0"/>
              <w:widowControl/>
              <w:kinsoku/>
              <w:wordWrap/>
              <w:overflowPunct/>
              <w:topLinePunct w:val="0"/>
              <w:autoSpaceDE/>
              <w:bidi w:val="0"/>
              <w:adjustRightInd/>
              <w:textAlignment w:val="auto"/>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Refine the agreement from last meeting as:</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 xml:space="preserve">For intra-band contiguous CA, same antenna type should be applied on a band. </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For inter-band CA, either different or same antenna type can be applied on different bands.</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 xml:space="preserve">For inter-band CA, consider the following cases: </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1. ATG UE with omnidirectional antennas on the bands of PCC and SCC.</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2. ATG UE with an omnidirectional antenna on the band of PCC and an antenna array on the band of SCC.</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3. ATG UE with an antenna array on the band of PCC and an omnidirectional antenna on the band of SCC.</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[4. ATG UE with an antenna array on the bands of PCC and SCC, and one common Rx beam assumed.]</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eastAsia="等线"/>
                <w:kern w:val="2"/>
                <w:sz w:val="21"/>
                <w:szCs w:val="21"/>
                <w:highlight w:val="none"/>
                <w:lang w:val="en-US" w:eastAsia="zh-CN"/>
              </w:rPr>
            </w:pPr>
            <w:r>
              <w:rPr>
                <w:rFonts w:eastAsia="等线"/>
                <w:kern w:val="2"/>
                <w:sz w:val="21"/>
                <w:szCs w:val="21"/>
                <w:highlight w:val="none"/>
                <w:lang w:val="en-US" w:eastAsia="zh-CN"/>
              </w:rPr>
              <w:t>5. ATG UE with an antenna array on the bands of PCC and SCC, and two simultaneous separate Rx beams assumed.</w:t>
            </w:r>
          </w:p>
          <w:p>
            <w:pPr>
              <w:keepLines w:val="0"/>
              <w:pageBreakBefore w:val="0"/>
              <w:widowControl/>
              <w:kinsoku/>
              <w:wordWrap/>
              <w:overflowPunct/>
              <w:topLinePunct w:val="0"/>
              <w:autoSpaceDE/>
              <w:bidi w:val="0"/>
              <w:adjustRightInd/>
              <w:snapToGrid w:val="0"/>
              <w:textAlignment w:val="auto"/>
              <w:rPr>
                <w:rFonts w:eastAsia="等线"/>
                <w:sz w:val="21"/>
                <w:szCs w:val="21"/>
                <w:highlight w:val="yellow"/>
                <w:lang w:eastAsia="zh-CN"/>
              </w:rPr>
            </w:pPr>
            <w:r>
              <w:rPr>
                <w:rFonts w:eastAsia="等线"/>
                <w:sz w:val="21"/>
                <w:szCs w:val="21"/>
                <w:highlight w:val="yellow"/>
                <w:lang w:eastAsia="zh-CN"/>
              </w:rPr>
              <w:t>Further check which understanding is correct: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kern w:val="2"/>
                <w:sz w:val="21"/>
                <w:szCs w:val="21"/>
                <w:highlight w:val="none"/>
                <w:lang w:val="en-US" w:eastAsia="zh-CN"/>
              </w:rPr>
            </w:pPr>
            <w:r>
              <w:rPr>
                <w:rFonts w:hint="eastAsia" w:eastAsia="等线"/>
                <w:kern w:val="2"/>
                <w:sz w:val="21"/>
                <w:szCs w:val="21"/>
                <w:highlight w:val="none"/>
                <w:lang w:val="en-US" w:eastAsia="zh-CN"/>
              </w:rPr>
              <w:t>U</w:t>
            </w:r>
            <w:r>
              <w:rPr>
                <w:rFonts w:eastAsia="等线"/>
                <w:kern w:val="2"/>
                <w:sz w:val="21"/>
                <w:szCs w:val="21"/>
                <w:highlight w:val="none"/>
                <w:lang w:val="en-US" w:eastAsia="zh-CN"/>
              </w:rPr>
              <w:t>nderstanding #1: Case 4 is excluded in RF session.</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宋体"/>
                <w:color w:val="0070C0"/>
                <w:szCs w:val="24"/>
                <w:lang w:eastAsia="zh-CN"/>
              </w:rPr>
            </w:pPr>
            <w:r>
              <w:rPr>
                <w:rFonts w:eastAsia="等线"/>
                <w:kern w:val="2"/>
                <w:sz w:val="21"/>
                <w:szCs w:val="21"/>
                <w:highlight w:val="none"/>
                <w:lang w:val="en-US" w:eastAsia="zh-CN"/>
              </w:rPr>
              <w:t xml:space="preserve">Understanding #2: Case 4 is not explicitly discussed in RF session, since no case 4 specific RF requirement. Case 4 UE implementation is possible. </w:t>
            </w:r>
          </w:p>
          <w:p>
            <w:pPr>
              <w:pStyle w:val="3"/>
              <w:keepLines w:val="0"/>
              <w:pageBreakBefore w:val="0"/>
              <w:widowControl/>
              <w:kinsoku/>
              <w:wordWrap/>
              <w:overflowPunct/>
              <w:topLinePunct w:val="0"/>
              <w:autoSpaceDE/>
              <w:bidi w:val="0"/>
              <w:adjustRightInd/>
              <w:spacing w:before="0" w:after="0"/>
              <w:textAlignment w:val="auto"/>
              <w:rPr>
                <w:rFonts w:hint="eastAsia" w:eastAsia="宋体"/>
                <w:lang w:val="en-US" w:eastAsia="zh-CN"/>
              </w:rPr>
            </w:pPr>
            <w:r>
              <w:t xml:space="preserve">&lt;Sub-topic </w:t>
            </w:r>
            <w:r>
              <w:rPr>
                <w:rFonts w:hint="eastAsia" w:eastAsia="宋体"/>
                <w:lang w:val="en-US" w:eastAsia="zh-CN"/>
              </w:rPr>
              <w:t>1</w:t>
            </w:r>
            <w:r>
              <w:t>-</w:t>
            </w:r>
            <w:r>
              <w:rPr>
                <w:rFonts w:hint="eastAsia" w:eastAsia="宋体"/>
                <w:lang w:val="en-US" w:eastAsia="zh-CN"/>
              </w:rPr>
              <w:t>2</w:t>
            </w:r>
            <w:r>
              <w:t>&gt;</w:t>
            </w:r>
            <w:r>
              <w:rPr>
                <w:rFonts w:hint="eastAsia" w:eastAsia="宋体"/>
                <w:lang w:val="en-US" w:eastAsia="zh-CN"/>
              </w:rPr>
              <w:t xml:space="preserve"> RRC_IDLE/ RRC_INACTIVE state mobility</w:t>
            </w:r>
          </w:p>
          <w:p>
            <w:pPr>
              <w:keepLines w:val="0"/>
              <w:pageBreakBefore w:val="0"/>
              <w:widowControl/>
              <w:kinsoku/>
              <w:wordWrap/>
              <w:overflowPunct/>
              <w:topLinePunct w:val="0"/>
              <w:autoSpaceDE/>
              <w:bidi w:val="0"/>
              <w:adjustRightInd/>
              <w:textAlignment w:val="auto"/>
              <w:rPr>
                <w:rFonts w:ascii="Times New Roman" w:hAnsi="Times New Roman" w:eastAsia="Times New Roman" w:cs="Times New Roman"/>
                <w:b/>
                <w:sz w:val="21"/>
                <w:szCs w:val="21"/>
                <w:u w:val="single"/>
                <w:lang w:eastAsia="ko-KR"/>
              </w:rPr>
            </w:pPr>
            <w:r>
              <w:rPr>
                <w:rFonts w:hint="eastAsia" w:ascii="Times New Roman" w:hAnsi="Times New Roman" w:eastAsia="Times New Roman" w:cs="Times New Roman"/>
                <w:b/>
                <w:sz w:val="21"/>
                <w:szCs w:val="21"/>
                <w:u w:val="single"/>
                <w:lang w:eastAsia="ko-KR"/>
              </w:rPr>
              <w:t>Issue 1-2-1: Cell re-selection Idle/Inactive mode CA measurements</w:t>
            </w:r>
          </w:p>
          <w:p>
            <w:pPr>
              <w:keepLines w:val="0"/>
              <w:pageBreakBefore w:val="0"/>
              <w:widowControl/>
              <w:kinsoku/>
              <w:wordWrap/>
              <w:overflowPunct/>
              <w:topLinePunct w:val="0"/>
              <w:autoSpaceDE/>
              <w:bidi w:val="0"/>
              <w:adjustRightInd/>
              <w:textAlignment w:val="auto"/>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sz w:val="21"/>
                <w:szCs w:val="21"/>
                <w:highlight w:val="none"/>
              </w:rPr>
            </w:pPr>
            <w:r>
              <w:rPr>
                <w:sz w:val="21"/>
                <w:szCs w:val="21"/>
                <w:highlight w:val="none"/>
              </w:rPr>
              <w:t xml:space="preserve">On </w:t>
            </w:r>
            <w:r>
              <w:rPr>
                <w:rFonts w:hint="eastAsia"/>
                <w:sz w:val="21"/>
                <w:szCs w:val="21"/>
                <w:highlight w:val="none"/>
              </w:rPr>
              <w:t>t</w:t>
            </w:r>
            <w:r>
              <w:rPr>
                <w:sz w:val="21"/>
                <w:szCs w:val="21"/>
                <w:highlight w:val="none"/>
              </w:rPr>
              <w:t>he exception of side conditions.</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sz w:val="21"/>
                <w:szCs w:val="21"/>
                <w:highlight w:val="none"/>
              </w:rPr>
            </w:pPr>
            <w:r>
              <w:rPr>
                <w:sz w:val="21"/>
                <w:szCs w:val="21"/>
                <w:highlight w:val="none"/>
              </w:rPr>
              <w:t xml:space="preserve">Introduce </w:t>
            </w:r>
            <w:r>
              <w:rPr>
                <w:rFonts w:eastAsia="等线"/>
                <w:sz w:val="21"/>
                <w:szCs w:val="21"/>
                <w:highlight w:val="none"/>
              </w:rPr>
              <w:t>ΔR</w:t>
            </w:r>
            <w:r>
              <w:rPr>
                <w:rFonts w:eastAsia="等线"/>
                <w:sz w:val="21"/>
                <w:szCs w:val="21"/>
                <w:highlight w:val="none"/>
                <w:vertAlign w:val="subscript"/>
              </w:rPr>
              <w:t>IB,c</w:t>
            </w:r>
            <w:r>
              <w:rPr>
                <w:rFonts w:eastAsia="等线"/>
                <w:sz w:val="21"/>
                <w:szCs w:val="21"/>
                <w:highlight w:val="none"/>
              </w:rPr>
              <w:t>, the value refers to RF spec.</w:t>
            </w:r>
          </w:p>
          <w:p>
            <w:pPr>
              <w:keepLines w:val="0"/>
              <w:pageBreakBefore w:val="0"/>
              <w:widowControl/>
              <w:kinsoku/>
              <w:wordWrap/>
              <w:overflowPunct/>
              <w:topLinePunct w:val="0"/>
              <w:autoSpaceDE/>
              <w:bidi w:val="0"/>
              <w:adjustRightInd/>
              <w:textAlignment w:val="auto"/>
              <w:rPr>
                <w:b/>
                <w:color w:val="0070C0"/>
                <w:sz w:val="21"/>
                <w:szCs w:val="21"/>
                <w:u w:val="single"/>
                <w:lang w:eastAsia="ko-KR"/>
              </w:rPr>
            </w:pP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ascii="Times New Roman" w:hAnsi="Times New Roman" w:eastAsia="Times New Roman" w:cs="Times New Roman"/>
                <w:b/>
                <w:sz w:val="21"/>
                <w:szCs w:val="21"/>
                <w:u w:val="single"/>
                <w:lang w:eastAsia="ko-KR"/>
              </w:rPr>
              <w:t>Issue 1-2</w:t>
            </w:r>
            <w:r>
              <w:rPr>
                <w:rFonts w:hint="eastAsia" w:ascii="Times New Roman" w:hAnsi="Times New Roman" w:eastAsia="Times New Roman" w:cs="Times New Roman"/>
                <w:b/>
                <w:sz w:val="21"/>
                <w:szCs w:val="21"/>
                <w:u w:val="single"/>
                <w:lang w:val="en-US" w:eastAsia="zh-CN"/>
              </w:rPr>
              <w:t>-2</w:t>
            </w:r>
            <w:r>
              <w:rPr>
                <w:rFonts w:ascii="Times New Roman" w:hAnsi="Times New Roman" w:eastAsia="Times New Roman" w:cs="Times New Roman"/>
                <w:b/>
                <w:sz w:val="21"/>
                <w:szCs w:val="21"/>
                <w:u w:val="single"/>
                <w:lang w:eastAsia="ko-KR"/>
              </w:rPr>
              <w:t xml:space="preserve">: </w:t>
            </w:r>
            <w:r>
              <w:rPr>
                <w:rFonts w:hint="eastAsia" w:ascii="Times New Roman" w:hAnsi="Times New Roman" w:eastAsia="Times New Roman" w:cs="Times New Roman"/>
                <w:b/>
                <w:sz w:val="21"/>
                <w:szCs w:val="21"/>
                <w:u w:val="single"/>
                <w:lang w:val="en-US" w:eastAsia="zh-CN"/>
              </w:rPr>
              <w:t>I</w:t>
            </w:r>
            <w:r>
              <w:rPr>
                <w:rFonts w:hint="eastAsia" w:ascii="Times New Roman" w:hAnsi="Times New Roman" w:eastAsia="Times New Roman" w:cs="Times New Roman"/>
                <w:b/>
                <w:sz w:val="21"/>
                <w:szCs w:val="21"/>
                <w:u w:val="single"/>
                <w:lang w:eastAsia="ko-KR"/>
              </w:rPr>
              <w:t>dle/</w:t>
            </w:r>
            <w:r>
              <w:rPr>
                <w:rFonts w:hint="eastAsia" w:ascii="Times New Roman" w:hAnsi="Times New Roman" w:eastAsia="Times New Roman" w:cs="Times New Roman"/>
                <w:b/>
                <w:sz w:val="21"/>
                <w:szCs w:val="21"/>
                <w:u w:val="single"/>
                <w:lang w:val="en-US" w:eastAsia="zh-CN"/>
              </w:rPr>
              <w:t>I</w:t>
            </w:r>
            <w:r>
              <w:rPr>
                <w:rFonts w:hint="eastAsia" w:ascii="Times New Roman" w:hAnsi="Times New Roman" w:eastAsia="Times New Roman" w:cs="Times New Roman"/>
                <w:b/>
                <w:sz w:val="21"/>
                <w:szCs w:val="21"/>
                <w:u w:val="single"/>
                <w:lang w:eastAsia="ko-KR"/>
              </w:rPr>
              <w:t>nactive mode CA measurements</w:t>
            </w:r>
            <w:r>
              <w:rPr>
                <w:rFonts w:hint="eastAsia" w:ascii="Times New Roman" w:hAnsi="Times New Roman" w:eastAsia="Times New Roman" w:cs="Times New Roman"/>
                <w:b/>
                <w:sz w:val="21"/>
                <w:szCs w:val="21"/>
                <w:u w:val="single"/>
                <w:lang w:val="en-US" w:eastAsia="zh-CN"/>
              </w:rPr>
              <w:t xml:space="preserve"> (R16)</w:t>
            </w:r>
          </w:p>
          <w:p>
            <w:pPr>
              <w:keepLines w:val="0"/>
              <w:pageBreakBefore w:val="0"/>
              <w:widowControl/>
              <w:kinsoku/>
              <w:wordWrap/>
              <w:overflowPunct/>
              <w:topLinePunct w:val="0"/>
              <w:autoSpaceDE/>
              <w:bidi w:val="0"/>
              <w:adjustRightInd/>
              <w:textAlignment w:val="auto"/>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color w:val="0070C0"/>
                <w:sz w:val="21"/>
                <w:szCs w:val="21"/>
                <w:lang w:val="en-US" w:eastAsia="zh-CN"/>
              </w:rPr>
            </w:pPr>
            <w:r>
              <w:rPr>
                <w:rFonts w:hint="eastAsia"/>
                <w:sz w:val="21"/>
                <w:szCs w:val="21"/>
                <w:highlight w:val="none"/>
              </w:rPr>
              <w:t>No need to introduce R16 Idle/Inactive mode CA measurements requirements in ATG CA</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ascii="Times New Roman" w:hAnsi="Times New Roman" w:eastAsia="Times New Roman" w:cs="Times New Roman"/>
                <w:b/>
                <w:sz w:val="21"/>
                <w:szCs w:val="21"/>
                <w:u w:val="single"/>
                <w:lang w:eastAsia="ko-KR"/>
              </w:rPr>
              <w:t>Issue 1-2</w:t>
            </w:r>
            <w:r>
              <w:rPr>
                <w:rFonts w:hint="eastAsia" w:ascii="Times New Roman" w:hAnsi="Times New Roman" w:eastAsia="Times New Roman" w:cs="Times New Roman"/>
                <w:b/>
                <w:sz w:val="21"/>
                <w:szCs w:val="21"/>
                <w:u w:val="single"/>
                <w:lang w:val="en-US" w:eastAsia="zh-CN"/>
              </w:rPr>
              <w:t>-3</w:t>
            </w:r>
            <w:r>
              <w:rPr>
                <w:rFonts w:ascii="Times New Roman" w:hAnsi="Times New Roman" w:eastAsia="Times New Roman" w:cs="Times New Roman"/>
                <w:b/>
                <w:sz w:val="21"/>
                <w:szCs w:val="21"/>
                <w:u w:val="single"/>
                <w:lang w:eastAsia="ko-KR"/>
              </w:rPr>
              <w:t xml:space="preserve">: </w:t>
            </w:r>
            <w:r>
              <w:rPr>
                <w:rFonts w:hint="eastAsia" w:ascii="Times New Roman" w:hAnsi="Times New Roman" w:eastAsia="Times New Roman" w:cs="Times New Roman"/>
                <w:b/>
                <w:sz w:val="21"/>
                <w:szCs w:val="21"/>
                <w:u w:val="single"/>
                <w:lang w:eastAsia="ko-KR"/>
              </w:rPr>
              <w:t>Measurement report for fast CA/DC setup</w:t>
            </w:r>
            <w:r>
              <w:rPr>
                <w:rFonts w:hint="eastAsia" w:ascii="Times New Roman" w:hAnsi="Times New Roman" w:eastAsia="Times New Roman" w:cs="Times New Roman"/>
                <w:b/>
                <w:sz w:val="21"/>
                <w:szCs w:val="21"/>
                <w:u w:val="single"/>
                <w:lang w:val="en-US" w:eastAsia="zh-CN"/>
              </w:rPr>
              <w:t xml:space="preserve"> (R18)</w:t>
            </w:r>
          </w:p>
          <w:p>
            <w:pPr>
              <w:keepLines w:val="0"/>
              <w:pageBreakBefore w:val="0"/>
              <w:widowControl/>
              <w:kinsoku/>
              <w:wordWrap/>
              <w:overflowPunct/>
              <w:topLinePunct w:val="0"/>
              <w:autoSpaceDE/>
              <w:bidi w:val="0"/>
              <w:adjustRightInd/>
              <w:textAlignment w:val="auto"/>
              <w:rPr>
                <w:rFonts w:hint="eastAsia" w:eastAsia="等线"/>
                <w:sz w:val="21"/>
                <w:szCs w:val="21"/>
                <w:highlight w:val="green"/>
                <w:lang w:val="en-US" w:eastAsia="zh-CN"/>
              </w:rPr>
            </w:pPr>
            <w:r>
              <w:rPr>
                <w:rFonts w:hint="eastAsia" w:eastAsia="等线"/>
                <w:sz w:val="21"/>
                <w:szCs w:val="21"/>
                <w:highlight w:val="green"/>
                <w:lang w:val="en-US"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宋体"/>
                <w:color w:val="0070C0"/>
                <w:szCs w:val="24"/>
                <w:lang w:eastAsia="zh-CN"/>
              </w:rPr>
            </w:pPr>
            <w:r>
              <w:rPr>
                <w:rFonts w:hint="eastAsia" w:eastAsia="宋体"/>
                <w:color w:val="auto"/>
                <w:sz w:val="21"/>
                <w:szCs w:val="21"/>
                <w:lang w:eastAsia="zh-CN"/>
              </w:rPr>
              <w:t xml:space="preserve">No need to introduce Rel-18 NR CA EMR in ATG CA. </w:t>
            </w:r>
          </w:p>
          <w:p>
            <w:pPr>
              <w:pStyle w:val="3"/>
              <w:keepLines w:val="0"/>
              <w:pageBreakBefore w:val="0"/>
              <w:widowControl/>
              <w:kinsoku/>
              <w:wordWrap/>
              <w:overflowPunct/>
              <w:topLinePunct w:val="0"/>
              <w:autoSpaceDE/>
              <w:bidi w:val="0"/>
              <w:adjustRightInd/>
              <w:spacing w:before="0" w:after="0"/>
              <w:textAlignment w:val="auto"/>
              <w:rPr>
                <w:rFonts w:hint="eastAsia" w:eastAsia="宋体"/>
                <w:lang w:val="en-US" w:eastAsia="zh-CN"/>
              </w:rPr>
            </w:pPr>
            <w:r>
              <w:t xml:space="preserve">&lt;Sub-topic </w:t>
            </w:r>
            <w:r>
              <w:rPr>
                <w:rFonts w:hint="eastAsia" w:eastAsia="宋体"/>
                <w:lang w:val="en-US" w:eastAsia="zh-CN"/>
              </w:rPr>
              <w:t>1</w:t>
            </w:r>
            <w:r>
              <w:t>-</w:t>
            </w:r>
            <w:r>
              <w:rPr>
                <w:rFonts w:hint="eastAsia" w:eastAsia="宋体"/>
                <w:lang w:val="en-US" w:eastAsia="zh-CN"/>
              </w:rPr>
              <w:t>3</w:t>
            </w:r>
            <w:r>
              <w:t>&gt;</w:t>
            </w:r>
            <w:r>
              <w:rPr>
                <w:rFonts w:hint="eastAsia" w:eastAsia="宋体"/>
                <w:lang w:val="en-US" w:eastAsia="zh-CN"/>
              </w:rPr>
              <w:t xml:space="preserve"> Timing</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eastAsia="ko-KR"/>
              </w:rPr>
              <w:t>Issue 1-</w:t>
            </w:r>
            <w:r>
              <w:rPr>
                <w:rFonts w:hint="eastAsia" w:ascii="Times New Roman" w:hAnsi="Times New Roman" w:eastAsia="Times New Roman" w:cs="Times New Roman"/>
                <w:b/>
                <w:sz w:val="21"/>
                <w:szCs w:val="21"/>
                <w:u w:val="single"/>
                <w:lang w:val="en-US" w:eastAsia="zh-CN"/>
              </w:rPr>
              <w:t>3-1</w:t>
            </w:r>
            <w:r>
              <w:rPr>
                <w:rFonts w:hint="eastAsia" w:ascii="Times New Roman" w:hAnsi="Times New Roman" w:eastAsia="Times New Roman" w:cs="Times New Roman"/>
                <w:b/>
                <w:sz w:val="21"/>
                <w:szCs w:val="21"/>
                <w:u w:val="single"/>
                <w:lang w:eastAsia="ko-KR"/>
              </w:rPr>
              <w:t xml:space="preserve">: </w:t>
            </w:r>
            <w:r>
              <w:rPr>
                <w:rFonts w:hint="eastAsia" w:ascii="Times New Roman" w:hAnsi="Times New Roman" w:eastAsia="Times New Roman" w:cs="Times New Roman"/>
                <w:b/>
                <w:sz w:val="21"/>
                <w:szCs w:val="21"/>
                <w:u w:val="single"/>
                <w:lang w:val="en-US" w:eastAsia="zh-CN"/>
              </w:rPr>
              <w:t>MTTD</w:t>
            </w:r>
          </w:p>
          <w:p>
            <w:pPr>
              <w:keepLines w:val="0"/>
              <w:pageBreakBefore w:val="0"/>
              <w:widowControl/>
              <w:kinsoku/>
              <w:wordWrap/>
              <w:overflowPunct/>
              <w:topLinePunct w:val="0"/>
              <w:autoSpaceDE/>
              <w:bidi w:val="0"/>
              <w:adjustRightInd/>
              <w:snapToGrid w:val="0"/>
              <w:textAlignment w:val="auto"/>
              <w:rPr>
                <w:rFonts w:eastAsia="等线"/>
                <w:sz w:val="21"/>
                <w:szCs w:val="21"/>
                <w:highlight w:val="green"/>
                <w:lang w:val="en-US" w:eastAsia="zh-CN"/>
              </w:rPr>
            </w:pPr>
            <w:r>
              <w:rPr>
                <w:rFonts w:hint="eastAsia" w:eastAsia="等线"/>
                <w:sz w:val="21"/>
                <w:szCs w:val="21"/>
                <w:highlight w:val="green"/>
                <w:lang w:val="en-US" w:eastAsia="zh-CN"/>
              </w:rPr>
              <w:t>A</w:t>
            </w:r>
            <w:r>
              <w:rPr>
                <w:rFonts w:eastAsia="等线"/>
                <w:sz w:val="21"/>
                <w:szCs w:val="21"/>
                <w:highlight w:val="green"/>
                <w:lang w:val="en-US" w:eastAsia="zh-CN"/>
              </w:rPr>
              <w:t>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eastAsia" w:eastAsia="宋体"/>
                <w:color w:val="auto"/>
                <w:sz w:val="21"/>
                <w:szCs w:val="21"/>
                <w:lang w:eastAsia="zh-CN"/>
              </w:rPr>
            </w:pPr>
            <w:r>
              <w:rPr>
                <w:rFonts w:hint="eastAsia" w:eastAsia="宋体"/>
                <w:color w:val="auto"/>
                <w:sz w:val="21"/>
                <w:szCs w:val="21"/>
                <w:lang w:eastAsia="zh-CN"/>
              </w:rPr>
              <w:t>For intra-band contiguous CA and inter-band CA, no need to define MTTD requirements.</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lang w:val="en-US" w:eastAsia="zh-CN"/>
              </w:rPr>
            </w:pPr>
            <w:r>
              <w:rPr>
                <w:rFonts w:hint="eastAsia" w:eastAsia="宋体"/>
                <w:color w:val="auto"/>
                <w:sz w:val="21"/>
                <w:szCs w:val="21"/>
                <w:lang w:eastAsia="zh-CN"/>
              </w:rPr>
              <w:t>Note: with the common understanding that uplink is not configured in the Scell.</w:t>
            </w:r>
          </w:p>
          <w:p>
            <w:pPr>
              <w:pStyle w:val="3"/>
              <w:keepLines w:val="0"/>
              <w:pageBreakBefore w:val="0"/>
              <w:widowControl/>
              <w:kinsoku/>
              <w:wordWrap/>
              <w:overflowPunct/>
              <w:topLinePunct w:val="0"/>
              <w:autoSpaceDE/>
              <w:bidi w:val="0"/>
              <w:adjustRightInd/>
              <w:spacing w:before="0" w:after="0"/>
              <w:textAlignment w:val="auto"/>
              <w:rPr>
                <w:rFonts w:hint="eastAsia" w:eastAsia="宋体"/>
                <w:lang w:val="en-US" w:eastAsia="zh-CN"/>
              </w:rPr>
            </w:pPr>
            <w:r>
              <w:t xml:space="preserve">&lt;Sub-topic </w:t>
            </w:r>
            <w:r>
              <w:rPr>
                <w:rFonts w:hint="eastAsia" w:eastAsia="宋体"/>
                <w:lang w:val="en-US" w:eastAsia="zh-CN"/>
              </w:rPr>
              <w:t>1</w:t>
            </w:r>
            <w:r>
              <w:t>-</w:t>
            </w:r>
            <w:r>
              <w:rPr>
                <w:rFonts w:hint="eastAsia" w:eastAsia="宋体"/>
                <w:lang w:val="en-US" w:eastAsia="zh-CN"/>
              </w:rPr>
              <w:t>4</w:t>
            </w:r>
            <w:r>
              <w:t>&gt;</w:t>
            </w:r>
            <w:r>
              <w:rPr>
                <w:rFonts w:hint="eastAsia" w:eastAsia="宋体"/>
                <w:lang w:val="en-US" w:eastAsia="zh-CN"/>
              </w:rPr>
              <w:t xml:space="preserve"> Signalling characteristics</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eastAsia="ko-KR"/>
              </w:rPr>
            </w:pPr>
            <w:r>
              <w:rPr>
                <w:rFonts w:hint="eastAsia" w:ascii="Times New Roman" w:hAnsi="Times New Roman" w:eastAsia="Times New Roman" w:cs="Times New Roman"/>
                <w:b/>
                <w:sz w:val="21"/>
                <w:szCs w:val="21"/>
                <w:u w:val="single"/>
                <w:lang w:eastAsia="ko-KR"/>
              </w:rPr>
              <w:t>Issue 1-</w:t>
            </w:r>
            <w:r>
              <w:rPr>
                <w:rFonts w:hint="eastAsia" w:ascii="Times New Roman" w:hAnsi="Times New Roman" w:eastAsia="Times New Roman" w:cs="Times New Roman"/>
                <w:b/>
                <w:sz w:val="21"/>
                <w:szCs w:val="21"/>
                <w:u w:val="single"/>
                <w:lang w:val="en-US" w:eastAsia="zh-CN"/>
              </w:rPr>
              <w:t>4-2</w:t>
            </w:r>
            <w:r>
              <w:rPr>
                <w:rFonts w:hint="eastAsia" w:ascii="Times New Roman" w:hAnsi="Times New Roman" w:eastAsia="Times New Roman" w:cs="Times New Roman"/>
                <w:b/>
                <w:sz w:val="21"/>
                <w:szCs w:val="21"/>
                <w:u w:val="single"/>
                <w:lang w:eastAsia="ko-KR"/>
              </w:rPr>
              <w:t>: SCell Activation and Deactivation Delay</w:t>
            </w:r>
          </w:p>
          <w:p>
            <w:pPr>
              <w:keepLines w:val="0"/>
              <w:pageBreakBefore w:val="0"/>
              <w:widowControl/>
              <w:kinsoku/>
              <w:wordWrap/>
              <w:overflowPunct/>
              <w:topLinePunct w:val="0"/>
              <w:autoSpaceDE/>
              <w:bidi w:val="0"/>
              <w:adjustRightInd/>
              <w:snapToGrid w:val="0"/>
              <w:textAlignment w:val="auto"/>
              <w:rPr>
                <w:sz w:val="21"/>
                <w:szCs w:val="21"/>
                <w:lang w:eastAsia="zh-CN"/>
              </w:rPr>
            </w:pPr>
            <w:r>
              <w:rPr>
                <w:rFonts w:hint="eastAsia"/>
                <w:sz w:val="21"/>
                <w:szCs w:val="21"/>
                <w:highlight w:val="green"/>
                <w:lang w:eastAsia="zh-CN"/>
              </w:rPr>
              <w:t>A</w:t>
            </w:r>
            <w:r>
              <w:rPr>
                <w:sz w:val="21"/>
                <w:szCs w:val="21"/>
                <w:highlight w:val="green"/>
                <w:lang w:eastAsia="zh-CN"/>
              </w:rPr>
              <w:t>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SCell Activation and Deactivation Delay requirements should be introduced for ATG, reuse the current FR1 requirements as the starting point</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SCell Activation Delay Requirement for Deactivated SCell</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SCell Deactivation Delay Requirement for Activated SCell </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Direct SCell Activation at SCell addition </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 xml:space="preserve">Direct SCell Activation at Handover </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Direct SCell Activation at RRC Resume</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Fast SCell Activation Delay Requirement for Deactivated SCell</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SCell Activation Delay Requirement for Deactivated SCell with the L3 reporting during activation</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SSB-less SCell related requirement for intra-band CA and inter-band CA</w:t>
            </w:r>
          </w:p>
          <w:p>
            <w:pPr>
              <w:keepLines w:val="0"/>
              <w:pageBreakBefore w:val="0"/>
              <w:widowControl/>
              <w:numPr>
                <w:ilvl w:val="2"/>
                <w:numId w:val="6"/>
              </w:numPr>
              <w:kinsoku/>
              <w:wordWrap/>
              <w:overflowPunct/>
              <w:topLinePunct w:val="0"/>
              <w:autoSpaceDE/>
              <w:autoSpaceDN w:val="0"/>
              <w:bidi w:val="0"/>
              <w:adjustRightInd/>
              <w:ind w:left="1440" w:leftChars="0"/>
              <w:textAlignment w:val="auto"/>
              <w:rPr>
                <w:rFonts w:hint="eastAsia" w:eastAsia="宋体"/>
                <w:color w:val="auto"/>
                <w:sz w:val="21"/>
                <w:szCs w:val="21"/>
                <w:lang w:val="en-US" w:eastAsia="zh-CN"/>
              </w:rPr>
            </w:pPr>
            <w:r>
              <w:rPr>
                <w:rFonts w:hint="eastAsia" w:eastAsia="宋体"/>
                <w:color w:val="auto"/>
                <w:sz w:val="21"/>
                <w:szCs w:val="21"/>
                <w:lang w:val="en-US" w:eastAsia="zh-CN"/>
              </w:rPr>
              <w:t>Note: The appplicability of the requirement is up to UE capability supporting</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eastAsia" w:ascii="Times New Roman" w:hAnsi="Times New Roman" w:eastAsia="Times New Roman" w:cs="Times New Roman"/>
                <w:b/>
                <w:sz w:val="21"/>
                <w:szCs w:val="21"/>
                <w:u w:val="single"/>
                <w:lang w:val="en-US" w:eastAsia="zh-CN"/>
              </w:rPr>
            </w:pPr>
            <w:r>
              <w:rPr>
                <w:rFonts w:hint="eastAsia" w:eastAsia="宋体"/>
                <w:color w:val="auto"/>
                <w:sz w:val="21"/>
                <w:szCs w:val="21"/>
                <w:highlight w:val="yellow"/>
                <w:lang w:val="en-US" w:eastAsia="zh-CN"/>
              </w:rPr>
              <w:t>Further discuss</w:t>
            </w:r>
            <w:r>
              <w:rPr>
                <w:rFonts w:hint="eastAsia" w:eastAsia="宋体"/>
                <w:color w:val="auto"/>
                <w:sz w:val="21"/>
                <w:szCs w:val="21"/>
                <w:lang w:val="en-US" w:eastAsia="zh-CN"/>
              </w:rPr>
              <w:t xml:space="preserve"> whether enhancement/update is needed considering band combinations, antenna types, and co-located deployment.</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zh-CN"/>
              </w:rPr>
              <w:t>Issue 1-4-</w:t>
            </w:r>
            <w:r>
              <w:rPr>
                <w:rFonts w:hint="eastAsia" w:cs="Times New Roman"/>
                <w:b/>
                <w:sz w:val="21"/>
                <w:szCs w:val="21"/>
                <w:u w:val="single"/>
                <w:lang w:val="en-US" w:eastAsia="zh-CN"/>
              </w:rPr>
              <w:t>5</w:t>
            </w:r>
            <w:r>
              <w:rPr>
                <w:rFonts w:hint="eastAsia" w:ascii="Times New Roman" w:hAnsi="Times New Roman" w:eastAsia="Times New Roman" w:cs="Times New Roman"/>
                <w:b/>
                <w:sz w:val="21"/>
                <w:szCs w:val="21"/>
                <w:u w:val="single"/>
                <w:lang w:val="en-US" w:eastAsia="zh-CN"/>
              </w:rPr>
              <w:t>: Beam failure recovery in SCell</w:t>
            </w:r>
          </w:p>
          <w:p>
            <w:pPr>
              <w:keepLines w:val="0"/>
              <w:pageBreakBefore w:val="0"/>
              <w:widowControl/>
              <w:kinsoku/>
              <w:wordWrap/>
              <w:overflowPunct/>
              <w:topLinePunct w:val="0"/>
              <w:autoSpaceDE/>
              <w:bidi w:val="0"/>
              <w:adjustRightInd/>
              <w:textAlignment w:val="auto"/>
              <w:rPr>
                <w:sz w:val="21"/>
                <w:szCs w:val="21"/>
                <w:highlight w:val="green"/>
                <w:lang w:eastAsia="zh-CN"/>
              </w:rPr>
            </w:pPr>
            <w:r>
              <w:rPr>
                <w:rFonts w:hint="eastAsia"/>
                <w:sz w:val="21"/>
                <w:szCs w:val="21"/>
                <w:highlight w:val="green"/>
                <w:lang w:eastAsia="zh-CN"/>
              </w:rPr>
              <w:t>A</w:t>
            </w:r>
            <w:r>
              <w:rPr>
                <w:sz w:val="21"/>
                <w:szCs w:val="21"/>
                <w:highlight w:val="green"/>
                <w:lang w:eastAsia="zh-CN"/>
              </w:rPr>
              <w:t>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lang w:val="en-US" w:eastAsia="zh-CN"/>
              </w:rPr>
            </w:pPr>
            <w:r>
              <w:rPr>
                <w:rFonts w:eastAsia="等线"/>
                <w:sz w:val="21"/>
                <w:szCs w:val="21"/>
                <w:highlight w:val="none"/>
              </w:rPr>
              <w:t>Introduce Beam failure recovery in SCell for ATG CA, the legacy procedure and requirement can be reused.</w:t>
            </w:r>
          </w:p>
          <w:p>
            <w:pPr>
              <w:pStyle w:val="3"/>
              <w:keepLines w:val="0"/>
              <w:pageBreakBefore w:val="0"/>
              <w:widowControl/>
              <w:kinsoku/>
              <w:wordWrap/>
              <w:overflowPunct/>
              <w:topLinePunct w:val="0"/>
              <w:autoSpaceDE/>
              <w:bidi w:val="0"/>
              <w:adjustRightInd/>
              <w:spacing w:before="0" w:after="0"/>
              <w:textAlignment w:val="auto"/>
              <w:rPr>
                <w:rFonts w:hint="default" w:eastAsia="宋体"/>
                <w:lang w:val="en-US" w:eastAsia="zh-CN"/>
              </w:rPr>
            </w:pPr>
            <w:r>
              <w:t xml:space="preserve">&lt;Sub-topic </w:t>
            </w:r>
            <w:r>
              <w:rPr>
                <w:rFonts w:hint="eastAsia" w:eastAsia="宋体"/>
                <w:lang w:val="en-US" w:eastAsia="zh-CN"/>
              </w:rPr>
              <w:t>1</w:t>
            </w:r>
            <w:r>
              <w:t>-</w:t>
            </w:r>
            <w:r>
              <w:rPr>
                <w:rFonts w:hint="eastAsia" w:eastAsia="宋体"/>
                <w:lang w:val="en-US" w:eastAsia="zh-CN"/>
              </w:rPr>
              <w:t>5</w:t>
            </w:r>
            <w:r>
              <w:t>&gt;</w:t>
            </w:r>
            <w:r>
              <w:rPr>
                <w:rFonts w:hint="eastAsia" w:eastAsia="宋体"/>
                <w:lang w:val="en-US" w:eastAsia="zh-CN"/>
              </w:rPr>
              <w:t xml:space="preserve"> Measurement procedure</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5-1</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Measurement gap</w:t>
            </w:r>
          </w:p>
          <w:p>
            <w:pPr>
              <w:keepLines w:val="0"/>
              <w:pageBreakBefore w:val="0"/>
              <w:widowControl/>
              <w:kinsoku/>
              <w:wordWrap/>
              <w:overflowPunct/>
              <w:topLinePunct w:val="0"/>
              <w:autoSpaceDE/>
              <w:bidi w:val="0"/>
              <w:adjustRightInd/>
              <w:textAlignment w:val="auto"/>
              <w:rPr>
                <w:rFonts w:hint="eastAsia"/>
                <w:sz w:val="21"/>
                <w:szCs w:val="21"/>
                <w:highlight w:val="green"/>
                <w:lang w:eastAsia="zh-CN"/>
              </w:rPr>
            </w:pPr>
            <w:r>
              <w:rPr>
                <w:rFonts w:hint="eastAsia"/>
                <w:sz w:val="21"/>
                <w:szCs w:val="21"/>
                <w:highlight w:val="green"/>
                <w:lang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sz w:val="21"/>
                <w:szCs w:val="21"/>
                <w:highlight w:val="none"/>
              </w:rPr>
            </w:pPr>
            <w:r>
              <w:rPr>
                <w:rFonts w:eastAsia="等线"/>
                <w:sz w:val="21"/>
                <w:szCs w:val="21"/>
                <w:highlight w:val="none"/>
              </w:rPr>
              <w:t>The measurement gap applicability rule and scheduling applicability for ATG SA single carrier shall be also applied for ATG NR CA.</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color w:val="0070C0"/>
                <w:sz w:val="21"/>
                <w:szCs w:val="21"/>
                <w:lang w:val="en-US" w:eastAsia="zh-CN"/>
              </w:rPr>
            </w:pPr>
            <w:r>
              <w:rPr>
                <w:rFonts w:eastAsia="等线"/>
                <w:sz w:val="21"/>
                <w:szCs w:val="21"/>
                <w:highlight w:val="none"/>
              </w:rPr>
              <w:t xml:space="preserve">When define the SCC interruption time, only consider </w:t>
            </w:r>
            <w:r>
              <w:rPr>
                <w:rFonts w:eastAsia="等线"/>
                <w:sz w:val="21"/>
                <w:szCs w:val="21"/>
                <w:highlight w:val="none"/>
                <w:lang w:eastAsia="ko-KR"/>
              </w:rPr>
              <w:t>aligned frame boundaries</w:t>
            </w:r>
            <w:r>
              <w:rPr>
                <w:rFonts w:eastAsia="等线"/>
                <w:sz w:val="21"/>
                <w:szCs w:val="21"/>
                <w:highlight w:val="none"/>
              </w:rPr>
              <w:t xml:space="preserve"> scenario, the interruption requirement in single carrier case can be reused for CA configuration.</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zh-CN"/>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5-2</w:t>
            </w:r>
            <w:r>
              <w:rPr>
                <w:rFonts w:hint="eastAsia" w:ascii="Times New Roman" w:hAnsi="Times New Roman" w:eastAsia="Times New Roman" w:cs="Times New Roman"/>
                <w:b/>
                <w:sz w:val="21"/>
                <w:szCs w:val="21"/>
                <w:u w:val="single"/>
                <w:lang w:val="en-US" w:eastAsia="ko-KR"/>
              </w:rPr>
              <w:t xml:space="preserve">: </w:t>
            </w:r>
            <w:r>
              <w:rPr>
                <w:rFonts w:hint="eastAsia" w:ascii="Times New Roman" w:hAnsi="Times New Roman" w:eastAsia="Times New Roman" w:cs="Times New Roman"/>
                <w:b/>
                <w:sz w:val="21"/>
                <w:szCs w:val="21"/>
                <w:u w:val="single"/>
                <w:lang w:val="en-US" w:eastAsia="zh-CN"/>
              </w:rPr>
              <w:t>CSSF</w:t>
            </w:r>
          </w:p>
          <w:p>
            <w:pPr>
              <w:keepLines w:val="0"/>
              <w:pageBreakBefore w:val="0"/>
              <w:widowControl/>
              <w:kinsoku/>
              <w:wordWrap/>
              <w:overflowPunct/>
              <w:topLinePunct w:val="0"/>
              <w:autoSpaceDE/>
              <w:bidi w:val="0"/>
              <w:adjustRightInd/>
              <w:textAlignment w:val="auto"/>
              <w:rPr>
                <w:rFonts w:hint="eastAsia"/>
                <w:sz w:val="21"/>
                <w:szCs w:val="21"/>
                <w:highlight w:val="green"/>
                <w:lang w:eastAsia="zh-CN"/>
              </w:rPr>
            </w:pPr>
            <w:r>
              <w:rPr>
                <w:rFonts w:hint="eastAsia"/>
                <w:sz w:val="21"/>
                <w:szCs w:val="21"/>
                <w:highlight w:val="green"/>
                <w:lang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b/>
                <w:bCs/>
                <w:sz w:val="21"/>
                <w:szCs w:val="21"/>
                <w:lang w:val="en-US" w:eastAsia="zh-CN"/>
              </w:rPr>
            </w:pPr>
            <w:r>
              <w:rPr>
                <w:rFonts w:eastAsia="等线"/>
                <w:sz w:val="21"/>
                <w:szCs w:val="21"/>
                <w:highlight w:val="none"/>
              </w:rPr>
              <w:t>Reuse the legacy scheme when defining the CSSF</w:t>
            </w:r>
            <w:r>
              <w:rPr>
                <w:rFonts w:eastAsia="等线"/>
                <w:sz w:val="21"/>
                <w:szCs w:val="21"/>
                <w:highlight w:val="none"/>
                <w:vertAlign w:val="subscript"/>
              </w:rPr>
              <w:t>outside_gap</w:t>
            </w:r>
            <w:r>
              <w:rPr>
                <w:rFonts w:eastAsia="等线"/>
                <w:sz w:val="21"/>
                <w:szCs w:val="21"/>
                <w:highlight w:val="none"/>
              </w:rPr>
              <w:t xml:space="preserve"> for ATG FR1 only CA, that PCC occupy one measurement searcher resource, SCC and other inter-frequency MO with no measurement gap share another measurement searcher resource.</w:t>
            </w:r>
          </w:p>
          <w:p>
            <w:pPr>
              <w:keepLines w:val="0"/>
              <w:pageBreakBefore w:val="0"/>
              <w:widowControl/>
              <w:kinsoku/>
              <w:wordWrap/>
              <w:overflowPunct/>
              <w:topLinePunct w:val="0"/>
              <w:autoSpaceDE/>
              <w:bidi w:val="0"/>
              <w:adjustRightInd/>
              <w:textAlignment w:val="auto"/>
              <w:rPr>
                <w:rFonts w:hint="eastAsia" w:ascii="Times New Roman" w:hAnsi="Times New Roman" w:eastAsia="Times New Roman" w:cs="Times New Roman"/>
                <w:b/>
                <w:sz w:val="21"/>
                <w:szCs w:val="21"/>
                <w:u w:val="single"/>
                <w:lang w:val="en-US" w:eastAsia="ko-KR"/>
              </w:rPr>
            </w:pPr>
            <w:r>
              <w:rPr>
                <w:rFonts w:hint="eastAsia" w:ascii="Times New Roman" w:hAnsi="Times New Roman" w:eastAsia="Times New Roman" w:cs="Times New Roman"/>
                <w:b/>
                <w:sz w:val="21"/>
                <w:szCs w:val="21"/>
                <w:u w:val="single"/>
                <w:lang w:val="en-US" w:eastAsia="ko-KR"/>
              </w:rPr>
              <w:t>Issue 1-</w:t>
            </w:r>
            <w:r>
              <w:rPr>
                <w:rFonts w:hint="eastAsia" w:ascii="Times New Roman" w:hAnsi="Times New Roman" w:eastAsia="Times New Roman" w:cs="Times New Roman"/>
                <w:b/>
                <w:sz w:val="21"/>
                <w:szCs w:val="21"/>
                <w:u w:val="single"/>
                <w:lang w:val="en-US" w:eastAsia="zh-CN"/>
              </w:rPr>
              <w:t>5-</w:t>
            </w:r>
            <w:r>
              <w:rPr>
                <w:rFonts w:hint="eastAsia" w:cs="Times New Roman"/>
                <w:b/>
                <w:sz w:val="21"/>
                <w:szCs w:val="21"/>
                <w:u w:val="single"/>
                <w:lang w:val="en-US" w:eastAsia="zh-CN"/>
              </w:rPr>
              <w:t>6</w:t>
            </w:r>
            <w:r>
              <w:rPr>
                <w:rFonts w:hint="eastAsia" w:ascii="Times New Roman" w:hAnsi="Times New Roman" w:eastAsia="Times New Roman" w:cs="Times New Roman"/>
                <w:b/>
                <w:sz w:val="21"/>
                <w:szCs w:val="21"/>
                <w:u w:val="single"/>
                <w:lang w:val="en-US" w:eastAsia="ko-KR"/>
              </w:rPr>
              <w:t>: Deactivated SCell measurement</w:t>
            </w:r>
          </w:p>
          <w:p>
            <w:pPr>
              <w:keepLines w:val="0"/>
              <w:pageBreakBefore w:val="0"/>
              <w:widowControl/>
              <w:kinsoku/>
              <w:wordWrap/>
              <w:overflowPunct/>
              <w:topLinePunct w:val="0"/>
              <w:autoSpaceDE/>
              <w:bidi w:val="0"/>
              <w:adjustRightInd/>
              <w:textAlignment w:val="auto"/>
              <w:rPr>
                <w:sz w:val="21"/>
                <w:szCs w:val="21"/>
                <w:highlight w:val="green"/>
                <w:lang w:eastAsia="zh-CN"/>
              </w:rPr>
            </w:pPr>
            <w:r>
              <w:rPr>
                <w:sz w:val="21"/>
                <w:szCs w:val="21"/>
                <w:highlight w:val="green"/>
                <w:lang w:eastAsia="zh-CN"/>
              </w:rPr>
              <w:t>Agreement:</w:t>
            </w:r>
          </w:p>
          <w:p>
            <w:pPr>
              <w:keepLines w:val="0"/>
              <w:pageBreakBefore w:val="0"/>
              <w:widowControl/>
              <w:numPr>
                <w:ilvl w:val="0"/>
                <w:numId w:val="6"/>
              </w:numPr>
              <w:kinsoku/>
              <w:wordWrap/>
              <w:overflowPunct/>
              <w:topLinePunct w:val="0"/>
              <w:autoSpaceDE/>
              <w:autoSpaceDN w:val="0"/>
              <w:bidi w:val="0"/>
              <w:adjustRightInd/>
              <w:ind w:left="600" w:leftChars="0"/>
              <w:textAlignment w:val="auto"/>
              <w:rPr>
                <w:sz w:val="21"/>
                <w:szCs w:val="21"/>
                <w:highlight w:val="none"/>
              </w:rPr>
            </w:pPr>
            <w:r>
              <w:rPr>
                <w:sz w:val="21"/>
                <w:szCs w:val="21"/>
                <w:highlight w:val="none"/>
              </w:rPr>
              <w:t>Define intra-frequency measurement requirements for deactivated SCell by reusing the principle from the existing cell identification and measurement requirements with measCycleScell as baseline</w:t>
            </w:r>
          </w:p>
          <w:p>
            <w:pPr>
              <w:keepLines w:val="0"/>
              <w:pageBreakBefore w:val="0"/>
              <w:widowControl/>
              <w:numPr>
                <w:ilvl w:val="1"/>
                <w:numId w:val="6"/>
              </w:numPr>
              <w:kinsoku/>
              <w:wordWrap/>
              <w:overflowPunct/>
              <w:topLinePunct w:val="0"/>
              <w:autoSpaceDE/>
              <w:autoSpaceDN w:val="0"/>
              <w:bidi w:val="0"/>
              <w:adjustRightInd/>
              <w:ind w:left="1020" w:leftChars="0"/>
              <w:textAlignment w:val="auto"/>
              <w:rPr>
                <w:rFonts w:hint="default" w:cs="Arial"/>
                <w:vertAlign w:val="baseline"/>
                <w:lang w:val="en-US" w:eastAsia="zh-CN"/>
              </w:rPr>
            </w:pPr>
            <w:r>
              <w:rPr>
                <w:sz w:val="21"/>
                <w:szCs w:val="21"/>
                <w:highlight w:val="yellow"/>
              </w:rPr>
              <w:t>Further discuss</w:t>
            </w:r>
            <w:r>
              <w:rPr>
                <w:sz w:val="21"/>
                <w:szCs w:val="21"/>
                <w:highlight w:val="none"/>
              </w:rPr>
              <w:t xml:space="preserve"> whether beam sweeping factor N1 and L3/L1 measurement sharing factor K</w:t>
            </w:r>
            <w:r>
              <w:rPr>
                <w:sz w:val="21"/>
                <w:szCs w:val="21"/>
                <w:highlight w:val="none"/>
                <w:vertAlign w:val="subscript"/>
              </w:rPr>
              <w:t>layer1_measurement</w:t>
            </w:r>
            <w:r>
              <w:rPr>
                <w:sz w:val="21"/>
                <w:szCs w:val="21"/>
                <w:highlight w:val="none"/>
              </w:rPr>
              <w:t xml:space="preserve"> is needed or not</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lang w:val="en-US" w:eastAsia="zh-CN"/>
        </w:rPr>
      </w:pPr>
      <w:r>
        <w:rPr>
          <w:rFonts w:hint="eastAsia"/>
          <w:lang w:val="en-US" w:eastAsia="zh-CN"/>
        </w:rPr>
        <w:t>In this paper, we provide our further analysis on remaining RRM aspects of R19 ATG.</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9"/>
        <w:numPr>
          <w:ilvl w:val="0"/>
          <w:numId w:val="0"/>
        </w:numPr>
        <w:bidi w:val="0"/>
        <w:ind w:leftChars="0"/>
        <w:rPr>
          <w:rFonts w:hint="eastAsia"/>
          <w:lang w:val="en-US" w:eastAsia="zh-CN"/>
        </w:rPr>
      </w:pPr>
      <w:r>
        <w:rPr>
          <w:rFonts w:hint="eastAsia"/>
          <w:lang w:val="en-US" w:eastAsia="zh-CN"/>
        </w:rPr>
        <w:t>From the perspective of RRM, compared with R18 ATG, the main new feature of R19 ATG is the support of FR1 intra-band/inter-band co-located DL CA. Around this new feature, we need to identify whether potential enhancements is necessary in R19.</w:t>
      </w:r>
    </w:p>
    <w:p>
      <w:pPr>
        <w:pStyle w:val="3"/>
        <w:numPr>
          <w:ilvl w:val="0"/>
          <w:numId w:val="0"/>
        </w:numPr>
        <w:bidi w:val="0"/>
        <w:ind w:leftChars="0"/>
        <w:rPr>
          <w:rFonts w:hint="eastAsia"/>
          <w:lang w:val="en-US" w:eastAsia="zh-CN"/>
        </w:rPr>
      </w:pPr>
      <w:r>
        <w:rPr>
          <w:rFonts w:hint="eastAsia"/>
          <w:lang w:val="en-US" w:eastAsia="zh-CN"/>
        </w:rPr>
        <w:t>2.1 General</w:t>
      </w:r>
    </w:p>
    <w:p>
      <w:pPr>
        <w:pStyle w:val="9"/>
        <w:numPr>
          <w:ilvl w:val="0"/>
          <w:numId w:val="0"/>
        </w:numPr>
        <w:bidi w:val="0"/>
        <w:ind w:leftChars="0"/>
        <w:rPr>
          <w:rFonts w:hint="eastAsia"/>
          <w:lang w:val="en-US" w:eastAsia="zh-CN"/>
        </w:rPr>
      </w:pPr>
      <w:r>
        <w:rPr>
          <w:rFonts w:hint="eastAsia"/>
          <w:lang w:val="en-US" w:eastAsia="zh-CN"/>
        </w:rPr>
        <w:t>During last meeting, the assumption on UE antenna type was warmly discussed. The only suspending point is whether to consider Case 4 for inter-band CA. During discussion, companies proposed to check with RF session to down-select between the following two understanding: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bidi w:val="0"/>
              <w:adjustRightInd/>
              <w:snapToGrid w:val="0"/>
              <w:textAlignment w:val="auto"/>
              <w:rPr>
                <w:rFonts w:eastAsia="等线"/>
                <w:sz w:val="21"/>
                <w:szCs w:val="21"/>
                <w:highlight w:val="yellow"/>
                <w:lang w:eastAsia="zh-CN"/>
              </w:rPr>
            </w:pPr>
            <w:r>
              <w:rPr>
                <w:rFonts w:eastAsia="等线"/>
                <w:sz w:val="21"/>
                <w:szCs w:val="21"/>
                <w:highlight w:val="yellow"/>
                <w:lang w:eastAsia="zh-CN"/>
              </w:rPr>
              <w:t>Further check which understanding is correct:</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eastAsia="等线"/>
                <w:kern w:val="2"/>
                <w:sz w:val="21"/>
                <w:szCs w:val="21"/>
                <w:highlight w:val="none"/>
                <w:lang w:val="en-US" w:eastAsia="zh-CN"/>
              </w:rPr>
            </w:pPr>
            <w:r>
              <w:rPr>
                <w:rFonts w:hint="eastAsia" w:eastAsia="等线"/>
                <w:kern w:val="2"/>
                <w:sz w:val="21"/>
                <w:szCs w:val="21"/>
                <w:highlight w:val="none"/>
                <w:lang w:val="en-US" w:eastAsia="zh-CN"/>
              </w:rPr>
              <w:t>U</w:t>
            </w:r>
            <w:r>
              <w:rPr>
                <w:rFonts w:eastAsia="等线"/>
                <w:kern w:val="2"/>
                <w:sz w:val="21"/>
                <w:szCs w:val="21"/>
                <w:highlight w:val="none"/>
                <w:lang w:val="en-US" w:eastAsia="zh-CN"/>
              </w:rPr>
              <w:t>nderstanding #1: Case 4 is excluded in RF session.</w:t>
            </w:r>
          </w:p>
          <w:p>
            <w:pPr>
              <w:keepNext w:val="0"/>
              <w:keepLines w:val="0"/>
              <w:pageBreakBefore w:val="0"/>
              <w:widowControl/>
              <w:numPr>
                <w:ilvl w:val="0"/>
                <w:numId w:val="6"/>
              </w:numPr>
              <w:kinsoku/>
              <w:wordWrap/>
              <w:overflowPunct/>
              <w:topLinePunct w:val="0"/>
              <w:autoSpaceDE/>
              <w:autoSpaceDN w:val="0"/>
              <w:bidi w:val="0"/>
              <w:adjustRightInd/>
              <w:ind w:left="600" w:leftChars="0"/>
              <w:textAlignment w:val="auto"/>
              <w:rPr>
                <w:rFonts w:hint="default"/>
                <w:vertAlign w:val="baseline"/>
                <w:lang w:val="en-US" w:eastAsia="zh-CN"/>
              </w:rPr>
            </w:pPr>
            <w:r>
              <w:rPr>
                <w:rFonts w:eastAsia="等线"/>
                <w:kern w:val="2"/>
                <w:sz w:val="21"/>
                <w:szCs w:val="21"/>
                <w:highlight w:val="none"/>
                <w:lang w:val="en-US" w:eastAsia="zh-CN"/>
              </w:rPr>
              <w:t xml:space="preserve">Understanding #2: Case 4 is not explicitly discussed in RF session, since no case 4 specific RF requirement. Case 4 UE implementation is possible. </w:t>
            </w:r>
          </w:p>
        </w:tc>
      </w:tr>
    </w:tbl>
    <w:p>
      <w:pPr>
        <w:pStyle w:val="9"/>
        <w:numPr>
          <w:ilvl w:val="0"/>
          <w:numId w:val="0"/>
        </w:numPr>
        <w:bidi w:val="0"/>
        <w:ind w:leftChars="0"/>
        <w:rPr>
          <w:rFonts w:hint="eastAsia"/>
          <w:lang w:val="en-US" w:eastAsia="zh-CN"/>
        </w:rPr>
      </w:pPr>
      <w:r>
        <w:rPr>
          <w:rFonts w:hint="eastAsia"/>
          <w:lang w:val="en-US" w:eastAsia="zh-CN"/>
        </w:rPr>
        <w:t xml:space="preserve">After check the conclusion and discussion in RF session, we found that not any exact UE antenna assumption to differciate Case 4 and Case 5 was touched by RF discussion, let alone the conclusion. The reason behind such situation lies in no RF impact between Case 4 and Case 5. So the Understand #2 can be confirmed: Case 4 is not explicitly discussed in RF session, since no case 4 specific RF requirement. Case 4 UE implementation is possible. </w:t>
      </w:r>
    </w:p>
    <w:p>
      <w:pPr>
        <w:pStyle w:val="9"/>
        <w:numPr>
          <w:ilvl w:val="0"/>
          <w:numId w:val="0"/>
        </w:numPr>
        <w:bidi w:val="0"/>
        <w:ind w:leftChars="0"/>
        <w:rPr>
          <w:rFonts w:hint="eastAsia"/>
          <w:b/>
          <w:bCs/>
          <w:lang w:val="en-US" w:eastAsia="zh-CN"/>
        </w:rPr>
      </w:pPr>
      <w:r>
        <w:rPr>
          <w:rFonts w:hint="eastAsia"/>
          <w:b/>
          <w:bCs/>
          <w:lang w:val="en-US" w:eastAsia="zh-CN"/>
        </w:rPr>
        <w:t xml:space="preserve">Proposal 1: Confirm the understanding #2: Case 4 is not explicitly discussed in RF session, since no case 4 specific RF requirement. Case 4 UE implementation is possible. </w:t>
      </w:r>
    </w:p>
    <w:p>
      <w:pPr>
        <w:pStyle w:val="9"/>
        <w:numPr>
          <w:ilvl w:val="0"/>
          <w:numId w:val="0"/>
        </w:numPr>
        <w:bidi w:val="0"/>
        <w:ind w:leftChars="0"/>
        <w:rPr>
          <w:rFonts w:hint="default"/>
          <w:b/>
          <w:bCs/>
          <w:lang w:val="en-US" w:eastAsia="zh-CN"/>
        </w:rPr>
      </w:pPr>
      <w:r>
        <w:rPr>
          <w:rFonts w:hint="eastAsia"/>
          <w:lang w:val="en-US" w:eastAsia="zh-CN"/>
        </w:rPr>
        <w:t>From the perspective of ATG application in practice, both Case 4 and Case 5 are possible and feasible. No matter whether the ATG CPE is more powerful than normal UE or not, limited by the very complicated environment in the airplane, multiple instruments and cables are already deployed in the airplane, so the  acceptable size for antenna panel or CPE is very lmited, we can not assume everying in existing TN system is still effective in ATG CPE. Furthermore, R19 ATG focus on lo-located deployment, common Rx beam assumption is feasible and straightforward for both intra-band CA and inter-band CA.</w:t>
      </w:r>
    </w:p>
    <w:p>
      <w:pPr>
        <w:pStyle w:val="9"/>
        <w:numPr>
          <w:ilvl w:val="0"/>
          <w:numId w:val="0"/>
        </w:numPr>
        <w:bidi w:val="0"/>
        <w:ind w:leftChars="0"/>
        <w:rPr>
          <w:rFonts w:hint="eastAsia"/>
          <w:b/>
          <w:bCs/>
          <w:lang w:val="en-US" w:eastAsia="zh-CN"/>
        </w:rPr>
      </w:pPr>
      <w:r>
        <w:rPr>
          <w:rFonts w:hint="eastAsia"/>
          <w:b/>
          <w:bCs/>
          <w:lang w:val="en-US" w:eastAsia="zh-CN"/>
        </w:rPr>
        <w:t xml:space="preserve">Proposal 2: Both Case 4 and Case 5 are applicable for inter-band CA, UE could support either of them, up to UE implementation. </w:t>
      </w:r>
    </w:p>
    <w:p>
      <w:pPr>
        <w:pStyle w:val="9"/>
        <w:numPr>
          <w:ilvl w:val="0"/>
          <w:numId w:val="0"/>
        </w:numPr>
        <w:bidi w:val="0"/>
        <w:ind w:leftChars="0"/>
        <w:rPr>
          <w:rFonts w:hint="eastAsia"/>
          <w:lang w:val="en-US" w:eastAsia="zh-CN"/>
        </w:rPr>
      </w:pPr>
      <w:r>
        <w:rPr>
          <w:rFonts w:hint="eastAsia"/>
          <w:lang w:val="en-US" w:eastAsia="zh-CN"/>
        </w:rPr>
        <w:t xml:space="preserve">Since whether to apply Case 4 or Case 5 has RRM impact on at least scheduling restriction scheme, it is better to reach alignment between NW and UE in terms of Case 4 or Case 5 is applied. So some UE capability is needed. </w:t>
      </w:r>
    </w:p>
    <w:p>
      <w:pPr>
        <w:pStyle w:val="9"/>
        <w:numPr>
          <w:ilvl w:val="0"/>
          <w:numId w:val="0"/>
        </w:numPr>
        <w:bidi w:val="0"/>
        <w:ind w:leftChars="0"/>
        <w:rPr>
          <w:rFonts w:hint="default"/>
          <w:lang w:val="en-US" w:eastAsia="zh-CN"/>
        </w:rPr>
      </w:pPr>
      <w:r>
        <w:rPr>
          <w:rFonts w:hint="eastAsia"/>
          <w:lang w:val="en-US" w:eastAsia="zh-CN"/>
        </w:rPr>
        <w:t xml:space="preserve">In R18 ATG, RAN4 introduced a UE capability </w:t>
      </w:r>
      <w:r>
        <w:rPr>
          <w:rFonts w:hint="eastAsia"/>
          <w:i/>
          <w:iCs/>
          <w:lang w:val="en-US" w:eastAsia="zh-CN"/>
        </w:rPr>
        <w:t>antennaArrayType-r18</w:t>
      </w:r>
      <w:r>
        <w:rPr>
          <w:rFonts w:hint="eastAsia"/>
          <w:lang w:val="en-US" w:eastAsia="zh-CN"/>
        </w:rPr>
        <w:t xml:space="preserve"> to inform NW whether the UE supports phase antenna array or not, this UE capability is per band type. On top of this R18 UE capability, for the bands UE supporting phase antenna array, an additional UE capability of common or separate Rx beam could be further indicated to NW with the type of per BC.</w:t>
      </w:r>
    </w:p>
    <w:p>
      <w:pPr>
        <w:pStyle w:val="9"/>
        <w:numPr>
          <w:ilvl w:val="0"/>
          <w:numId w:val="0"/>
        </w:numPr>
        <w:bidi w:val="0"/>
        <w:ind w:leftChars="0"/>
        <w:rPr>
          <w:rFonts w:hint="eastAsia"/>
          <w:b/>
          <w:bCs/>
          <w:lang w:val="en-US" w:eastAsia="zh-CN"/>
        </w:rPr>
      </w:pPr>
      <w:r>
        <w:rPr>
          <w:rFonts w:hint="eastAsia"/>
          <w:b/>
          <w:bCs/>
          <w:lang w:val="en-US" w:eastAsia="zh-CN"/>
        </w:rPr>
        <w:t xml:space="preserve">Proposal 3: To differentiate Case 4 and Case 5, an additional UE capability to indicate common or separate Rx beam is needed with per BC type for the bands in which UE supporting phase antenna array. </w:t>
      </w:r>
    </w:p>
    <w:p>
      <w:pPr>
        <w:pStyle w:val="3"/>
        <w:numPr>
          <w:ilvl w:val="0"/>
          <w:numId w:val="0"/>
        </w:numPr>
        <w:bidi w:val="0"/>
        <w:ind w:leftChars="0"/>
        <w:rPr>
          <w:rFonts w:hint="default"/>
          <w:lang w:val="en-US" w:eastAsia="zh-CN"/>
        </w:rPr>
      </w:pPr>
      <w:r>
        <w:rPr>
          <w:rFonts w:hint="eastAsia"/>
          <w:lang w:val="en-US" w:eastAsia="zh-CN"/>
        </w:rPr>
        <w:t>2.2 Timing</w:t>
      </w:r>
    </w:p>
    <w:p>
      <w:pPr>
        <w:pStyle w:val="9"/>
        <w:numPr>
          <w:ilvl w:val="0"/>
          <w:numId w:val="0"/>
        </w:numPr>
        <w:bidi w:val="0"/>
        <w:ind w:leftChars="0"/>
        <w:rPr>
          <w:rFonts w:hint="default"/>
          <w:lang w:val="en-US" w:eastAsia="zh-CN"/>
        </w:rPr>
      </w:pPr>
      <w:r>
        <w:rPr>
          <w:rFonts w:hint="eastAsia"/>
          <w:lang w:val="en-US" w:eastAsia="zh-CN"/>
        </w:rPr>
        <w:t>For DL CA scenario, it is necessary to identify the requirements of MTRD. The existing MRTD and relevant BS TAE requirements for FR1 are summarized as below, to be more clear, we also list the CP length.</w:t>
      </w:r>
    </w:p>
    <w:tbl>
      <w:tblPr>
        <w:tblStyle w:val="18"/>
        <w:tblW w:w="924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6"/>
        <w:gridCol w:w="637"/>
        <w:gridCol w:w="1246"/>
        <w:gridCol w:w="1459"/>
        <w:gridCol w:w="1015"/>
        <w:gridCol w:w="739"/>
        <w:gridCol w:w="784"/>
        <w:gridCol w:w="73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Scenario</w:t>
            </w:r>
          </w:p>
        </w:tc>
        <w:tc>
          <w:tcPr>
            <w:tcW w:w="637"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FR</w:t>
            </w:r>
          </w:p>
        </w:tc>
        <w:tc>
          <w:tcPr>
            <w:tcW w:w="1246"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b/>
                <w:bCs/>
                <w:lang w:val="en-US"/>
              </w:rPr>
              <w:t>Sync/async</w:t>
            </w:r>
          </w:p>
        </w:tc>
        <w:tc>
          <w:tcPr>
            <w:tcW w:w="1459"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b/>
                <w:bCs/>
                <w:lang w:val="en-US" w:eastAsia="zh-CN"/>
              </w:rPr>
              <w:t xml:space="preserve">BS </w:t>
            </w:r>
            <w:r>
              <w:rPr>
                <w:b/>
                <w:bCs/>
                <w:lang w:val="en-US"/>
              </w:rPr>
              <w:t>TAE</w:t>
            </w:r>
          </w:p>
        </w:tc>
        <w:tc>
          <w:tcPr>
            <w:tcW w:w="1015" w:type="dxa"/>
            <w:tcBorders>
              <w:tl2br w:val="nil"/>
              <w:tr2bl w:val="nil"/>
            </w:tcBorders>
            <w:vAlign w:val="top"/>
          </w:tcPr>
          <w:p>
            <w:pPr>
              <w:pStyle w:val="35"/>
              <w:rPr>
                <w:lang w:val="en-US"/>
              </w:rPr>
            </w:pPr>
            <w:r>
              <w:rPr>
                <w:b/>
                <w:bCs/>
                <w:lang w:val="en-US"/>
              </w:rPr>
              <w:t>MRTD (us)</w:t>
            </w:r>
          </w:p>
        </w:tc>
        <w:tc>
          <w:tcPr>
            <w:tcW w:w="739" w:type="dxa"/>
            <w:tcBorders>
              <w:tl2br w:val="nil"/>
              <w:tr2bl w:val="nil"/>
            </w:tcBorders>
            <w:vAlign w:val="top"/>
          </w:tcPr>
          <w:p>
            <w:pPr>
              <w:pStyle w:val="35"/>
              <w:rPr>
                <w:rFonts w:hint="default" w:eastAsia="宋体"/>
                <w:b/>
                <w:bCs/>
                <w:lang w:val="en-US" w:eastAsia="zh-CN"/>
              </w:rPr>
            </w:pPr>
            <w:r>
              <w:rPr>
                <w:rFonts w:hint="eastAsia"/>
                <w:b/>
                <w:bCs/>
                <w:lang w:val="en-US" w:eastAsia="zh-CN"/>
              </w:rPr>
              <w:t>CP  15kHz</w:t>
            </w:r>
          </w:p>
        </w:tc>
        <w:tc>
          <w:tcPr>
            <w:tcW w:w="784" w:type="dxa"/>
            <w:tcBorders>
              <w:tl2br w:val="nil"/>
              <w:tr2bl w:val="nil"/>
            </w:tcBorders>
            <w:vAlign w:val="top"/>
          </w:tcPr>
          <w:p>
            <w:pPr>
              <w:pStyle w:val="35"/>
              <w:rPr>
                <w:b/>
                <w:bCs/>
                <w:lang w:val="en-US"/>
              </w:rPr>
            </w:pPr>
            <w:r>
              <w:rPr>
                <w:rFonts w:hint="eastAsia"/>
                <w:b/>
                <w:bCs/>
                <w:lang w:val="en-US" w:eastAsia="zh-CN"/>
              </w:rPr>
              <w:t>CP  30kHz</w:t>
            </w:r>
          </w:p>
        </w:tc>
        <w:tc>
          <w:tcPr>
            <w:tcW w:w="738" w:type="dxa"/>
            <w:tcBorders>
              <w:tl2br w:val="nil"/>
              <w:tr2bl w:val="nil"/>
            </w:tcBorders>
            <w:vAlign w:val="top"/>
          </w:tcPr>
          <w:p>
            <w:pPr>
              <w:pStyle w:val="35"/>
              <w:rPr>
                <w:rFonts w:hint="eastAsia"/>
                <w:b/>
                <w:bCs/>
                <w:lang w:val="en-US" w:eastAsia="zh-CN"/>
              </w:rPr>
            </w:pPr>
            <w:r>
              <w:rPr>
                <w:rFonts w:hint="eastAsia"/>
                <w:b/>
                <w:bCs/>
                <w:lang w:val="en-US" w:eastAsia="zh-CN"/>
              </w:rPr>
              <w:t>CP</w:t>
            </w:r>
          </w:p>
          <w:p>
            <w:pPr>
              <w:pStyle w:val="35"/>
              <w:rPr>
                <w:rFonts w:hint="default"/>
                <w:b/>
                <w:bCs/>
                <w:lang w:val="en-US" w:eastAsia="zh-CN"/>
              </w:rPr>
            </w:pPr>
            <w:r>
              <w:rPr>
                <w:rFonts w:hint="eastAsia"/>
                <w:b/>
                <w:bCs/>
                <w:lang w:val="en-US" w:eastAsia="zh-CN"/>
              </w:rPr>
              <w:t>60kHz</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default" w:eastAsia="宋体"/>
                <w:b/>
                <w:bCs/>
                <w:lang w:val="en-US" w:eastAsia="zh-CN"/>
              </w:rPr>
            </w:pPr>
            <w:r>
              <w:rPr>
                <w:rFonts w:hint="eastAsia"/>
                <w:highlight w:val="none"/>
                <w:lang w:val="en-US" w:eastAsia="zh-CN"/>
              </w:rPr>
              <w:t xml:space="preserve">Intra-band contiguous </w:t>
            </w:r>
            <w:r>
              <w:rPr>
                <w:highlight w:val="none"/>
                <w:lang w:val="en-US"/>
              </w:rPr>
              <w:t>CA</w:t>
            </w:r>
          </w:p>
        </w:tc>
        <w:tc>
          <w:tcPr>
            <w:tcW w:w="637" w:type="dxa"/>
            <w:vMerge w:val="restart"/>
            <w:tcBorders>
              <w:tl2br w:val="nil"/>
              <w:tr2bl w:val="nil"/>
            </w:tcBorders>
            <w:vAlign w:val="top"/>
          </w:tcPr>
          <w:p>
            <w:pPr>
              <w:pStyle w:val="35"/>
              <w:rPr>
                <w:lang w:val="en-US"/>
              </w:rPr>
            </w:pPr>
            <w:r>
              <w:rPr>
                <w:lang w:val="en-US"/>
              </w:rPr>
              <w:t>FR1</w:t>
            </w:r>
          </w:p>
        </w:tc>
        <w:tc>
          <w:tcPr>
            <w:tcW w:w="1246" w:type="dxa"/>
            <w:vMerge w:val="restart"/>
            <w:tcBorders>
              <w:tl2br w:val="nil"/>
              <w:tr2bl w:val="nil"/>
            </w:tcBorders>
            <w:vAlign w:val="top"/>
          </w:tcPr>
          <w:p>
            <w:pPr>
              <w:pStyle w:val="35"/>
              <w:rPr>
                <w:rFonts w:ascii="Arial" w:hAnsi="Arial" w:eastAsia="宋体" w:cs="Times New Roman"/>
                <w:kern w:val="2"/>
                <w:sz w:val="18"/>
                <w:szCs w:val="24"/>
                <w:lang w:val="en-US" w:eastAsia="zh-CN" w:bidi="ar-SA"/>
              </w:rPr>
            </w:pPr>
            <w:r>
              <w:rPr>
                <w:rFonts w:ascii="Arial" w:hAnsi="Arial" w:eastAsia="宋体" w:cs="Times New Roman"/>
                <w:kern w:val="2"/>
                <w:sz w:val="18"/>
                <w:szCs w:val="24"/>
                <w:lang w:val="en-US" w:eastAsia="zh-CN" w:bidi="ar-SA"/>
              </w:rPr>
              <w:t>Sync</w:t>
            </w:r>
          </w:p>
        </w:tc>
        <w:tc>
          <w:tcPr>
            <w:tcW w:w="1459" w:type="dxa"/>
            <w:tcBorders>
              <w:tl2br w:val="nil"/>
              <w:tr2bl w:val="nil"/>
            </w:tcBorders>
            <w:vAlign w:val="top"/>
          </w:tcPr>
          <w:p>
            <w:pPr>
              <w:pStyle w:val="35"/>
              <w:rPr>
                <w:rFonts w:hint="default" w:eastAsia="宋体"/>
                <w:b/>
                <w:bCs/>
                <w:lang w:val="en-US" w:eastAsia="zh-CN"/>
              </w:rPr>
            </w:pPr>
            <w:r>
              <w:rPr>
                <w:rFonts w:hint="eastAsia" w:eastAsia="宋体" w:cs="Times New Roman"/>
                <w:lang w:val="en-US" w:eastAsia="zh-CN"/>
              </w:rPr>
              <w:t>130 - 260ns</w:t>
            </w:r>
          </w:p>
        </w:tc>
        <w:tc>
          <w:tcPr>
            <w:tcW w:w="1015" w:type="dxa"/>
            <w:tcBorders>
              <w:tl2br w:val="nil"/>
              <w:tr2bl w:val="nil"/>
            </w:tcBorders>
            <w:vAlign w:val="top"/>
          </w:tcPr>
          <w:p>
            <w:pPr>
              <w:pStyle w:val="35"/>
              <w:rPr>
                <w:rFonts w:hint="eastAsia" w:eastAsia="宋体"/>
                <w:b/>
                <w:bCs/>
                <w:lang w:val="en-US" w:eastAsia="zh-CN"/>
              </w:rPr>
            </w:pPr>
            <w:r>
              <w:rPr>
                <w:rFonts w:hint="eastAsia"/>
                <w:b w:val="0"/>
                <w:bCs w:val="0"/>
                <w:lang w:val="en-US" w:eastAsia="zh-CN"/>
              </w:rPr>
              <w:t>/</w:t>
            </w:r>
          </w:p>
        </w:tc>
        <w:tc>
          <w:tcPr>
            <w:tcW w:w="739"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4.7</w:t>
            </w:r>
            <w:r>
              <w:rPr>
                <w:rFonts w:hint="eastAsia" w:eastAsia="宋体" w:cs="Times New Roman"/>
                <w:lang w:val="en-US" w:eastAsia="zh-CN"/>
              </w:rPr>
              <w:t>µs</w:t>
            </w:r>
          </w:p>
        </w:tc>
        <w:tc>
          <w:tcPr>
            <w:tcW w:w="784"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2.3</w:t>
            </w:r>
            <w:r>
              <w:rPr>
                <w:rFonts w:hint="eastAsia" w:eastAsia="宋体" w:cs="Times New Roman"/>
                <w:lang w:val="en-US" w:eastAsia="zh-CN"/>
              </w:rPr>
              <w:t>µs</w:t>
            </w:r>
          </w:p>
        </w:tc>
        <w:tc>
          <w:tcPr>
            <w:tcW w:w="738" w:type="dxa"/>
            <w:vMerge w:val="restart"/>
            <w:tcBorders>
              <w:tl2br w:val="nil"/>
              <w:tr2bl w:val="nil"/>
            </w:tcBorders>
            <w:vAlign w:val="top"/>
          </w:tcPr>
          <w:p>
            <w:pPr>
              <w:pStyle w:val="35"/>
              <w:rPr>
                <w:rFonts w:hint="default"/>
                <w:b w:val="0"/>
                <w:bCs w:val="0"/>
                <w:lang w:val="en-US" w:eastAsia="zh-CN"/>
              </w:rPr>
            </w:pPr>
            <w:r>
              <w:rPr>
                <w:rFonts w:hint="eastAsia"/>
                <w:b w:val="0"/>
                <w:bCs w:val="0"/>
                <w:lang w:val="en-US" w:eastAsia="zh-CN"/>
              </w:rPr>
              <w:t>1.2</w:t>
            </w:r>
            <w:r>
              <w:rPr>
                <w:rFonts w:hint="eastAsia" w:eastAsia="宋体" w:cs="Times New Roman"/>
                <w:lang w:val="en-US" w:eastAsia="zh-CN"/>
              </w:rPr>
              <w:t>µs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vAlign w:val="top"/>
          </w:tcPr>
          <w:p>
            <w:pPr>
              <w:pStyle w:val="35"/>
              <w:jc w:val="both"/>
              <w:rPr>
                <w:rFonts w:hint="eastAsia"/>
                <w:lang w:val="en-US" w:eastAsia="zh-CN"/>
              </w:rPr>
            </w:pPr>
            <w:r>
              <w:rPr>
                <w:rFonts w:hint="eastAsia"/>
                <w:lang w:val="en-US" w:eastAsia="zh-CN"/>
              </w:rPr>
              <w:t xml:space="preserve">Intra-band non-contiguous </w:t>
            </w:r>
            <w:r>
              <w:rPr>
                <w:lang w:val="en-US"/>
              </w:rPr>
              <w:t>CA</w:t>
            </w:r>
          </w:p>
        </w:tc>
        <w:tc>
          <w:tcPr>
            <w:tcW w:w="637" w:type="dxa"/>
            <w:vMerge w:val="continue"/>
            <w:tcBorders>
              <w:tl2br w:val="nil"/>
              <w:tr2bl w:val="nil"/>
            </w:tcBorders>
            <w:vAlign w:val="top"/>
          </w:tcPr>
          <w:p>
            <w:pPr>
              <w:pStyle w:val="35"/>
              <w:rPr>
                <w:b/>
                <w:bCs/>
                <w:lang w:val="en-US"/>
              </w:rPr>
            </w:pPr>
          </w:p>
        </w:tc>
        <w:tc>
          <w:tcPr>
            <w:tcW w:w="1246" w:type="dxa"/>
            <w:vMerge w:val="continue"/>
            <w:tcBorders>
              <w:tl2br w:val="nil"/>
              <w:tr2bl w:val="nil"/>
            </w:tcBorders>
            <w:vAlign w:val="top"/>
          </w:tcPr>
          <w:p>
            <w:pPr>
              <w:pStyle w:val="35"/>
              <w:rPr>
                <w:rFonts w:ascii="Arial" w:hAnsi="Arial" w:eastAsia="宋体" w:cs="Times New Roman"/>
                <w:kern w:val="2"/>
                <w:sz w:val="18"/>
                <w:szCs w:val="24"/>
                <w:lang w:val="en-US" w:eastAsia="zh-CN" w:bidi="ar-SA"/>
              </w:rPr>
            </w:pPr>
          </w:p>
        </w:tc>
        <w:tc>
          <w:tcPr>
            <w:tcW w:w="1459" w:type="dxa"/>
            <w:tcBorders>
              <w:tl2br w:val="nil"/>
              <w:tr2bl w:val="nil"/>
            </w:tcBorders>
            <w:vAlign w:val="top"/>
          </w:tcPr>
          <w:p>
            <w:pPr>
              <w:pStyle w:val="35"/>
              <w:rPr>
                <w:rFonts w:ascii="Arial" w:hAnsi="Arial" w:eastAsia="宋体" w:cs="Times New Roman"/>
                <w:b/>
                <w:bCs/>
                <w:kern w:val="2"/>
                <w:sz w:val="18"/>
                <w:szCs w:val="24"/>
                <w:lang w:val="en-US" w:eastAsia="zh-CN" w:bidi="ar-SA"/>
              </w:rPr>
            </w:pPr>
            <w:r>
              <w:rPr>
                <w:rFonts w:hint="eastAsia" w:eastAsia="宋体" w:cs="Times New Roman"/>
                <w:lang w:val="en-US" w:eastAsia="zh-CN"/>
              </w:rPr>
              <w:t>260ns - 3µs</w:t>
            </w:r>
          </w:p>
        </w:tc>
        <w:tc>
          <w:tcPr>
            <w:tcW w:w="1015" w:type="dxa"/>
            <w:tcBorders>
              <w:tl2br w:val="nil"/>
              <w:tr2bl w:val="nil"/>
            </w:tcBorders>
            <w:vAlign w:val="top"/>
          </w:tcPr>
          <w:p>
            <w:pPr>
              <w:pStyle w:val="35"/>
              <w:rPr>
                <w:rFonts w:hint="eastAsia" w:ascii="Arial" w:hAnsi="Arial" w:eastAsia="宋体" w:cs="Times New Roman"/>
                <w:b/>
                <w:bCs/>
                <w:kern w:val="2"/>
                <w:sz w:val="18"/>
                <w:szCs w:val="24"/>
                <w:lang w:val="en-US" w:eastAsia="zh-CN" w:bidi="ar-SA"/>
              </w:rPr>
            </w:pPr>
            <w:r>
              <w:rPr>
                <w:rFonts w:hint="eastAsia"/>
                <w:lang w:val="en-US" w:eastAsia="zh-CN"/>
              </w:rPr>
              <w:t>3</w:t>
            </w:r>
          </w:p>
        </w:tc>
        <w:tc>
          <w:tcPr>
            <w:tcW w:w="739" w:type="dxa"/>
            <w:vMerge w:val="continue"/>
            <w:tcBorders>
              <w:tl2br w:val="nil"/>
              <w:tr2bl w:val="nil"/>
            </w:tcBorders>
            <w:vAlign w:val="top"/>
          </w:tcPr>
          <w:p>
            <w:pPr>
              <w:pStyle w:val="35"/>
              <w:rPr>
                <w:rFonts w:hint="eastAsia"/>
                <w:lang w:val="en-US" w:eastAsia="zh-CN"/>
              </w:rPr>
            </w:pPr>
          </w:p>
        </w:tc>
        <w:tc>
          <w:tcPr>
            <w:tcW w:w="784" w:type="dxa"/>
            <w:vMerge w:val="continue"/>
            <w:tcBorders>
              <w:tl2br w:val="nil"/>
              <w:tr2bl w:val="nil"/>
            </w:tcBorders>
            <w:vAlign w:val="top"/>
          </w:tcPr>
          <w:p>
            <w:pPr>
              <w:pStyle w:val="35"/>
              <w:rPr>
                <w:rFonts w:hint="eastAsia"/>
                <w:lang w:val="en-US" w:eastAsia="zh-CN"/>
              </w:rPr>
            </w:pPr>
          </w:p>
        </w:tc>
        <w:tc>
          <w:tcPr>
            <w:tcW w:w="738" w:type="dxa"/>
            <w:vMerge w:val="continue"/>
            <w:tcBorders>
              <w:tl2br w:val="nil"/>
              <w:tr2bl w:val="nil"/>
            </w:tcBorders>
            <w:vAlign w:val="top"/>
          </w:tcPr>
          <w:p>
            <w:pPr>
              <w:pStyle w:val="35"/>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6" w:type="dxa"/>
            <w:tcBorders>
              <w:tl2br w:val="nil"/>
              <w:tr2bl w:val="nil"/>
            </w:tcBorders>
          </w:tcPr>
          <w:p>
            <w:pPr>
              <w:pStyle w:val="36"/>
              <w:rPr>
                <w:lang w:val="en-US"/>
              </w:rPr>
            </w:pPr>
            <w:r>
              <w:rPr>
                <w:rFonts w:hint="eastAsia"/>
                <w:highlight w:val="none"/>
                <w:lang w:val="en-US" w:eastAsia="zh-CN"/>
              </w:rPr>
              <w:t xml:space="preserve">Inter-band </w:t>
            </w:r>
            <w:r>
              <w:rPr>
                <w:highlight w:val="none"/>
                <w:lang w:val="en-US"/>
              </w:rPr>
              <w:t>CA</w:t>
            </w:r>
          </w:p>
        </w:tc>
        <w:tc>
          <w:tcPr>
            <w:tcW w:w="637" w:type="dxa"/>
            <w:vMerge w:val="continue"/>
            <w:tcBorders>
              <w:tl2br w:val="nil"/>
              <w:tr2bl w:val="nil"/>
            </w:tcBorders>
          </w:tcPr>
          <w:p>
            <w:pPr>
              <w:pStyle w:val="35"/>
              <w:rPr>
                <w:lang w:val="en-US"/>
              </w:rPr>
            </w:pPr>
          </w:p>
        </w:tc>
        <w:tc>
          <w:tcPr>
            <w:tcW w:w="1246" w:type="dxa"/>
            <w:vMerge w:val="continue"/>
            <w:tcBorders>
              <w:tl2br w:val="nil"/>
              <w:tr2bl w:val="nil"/>
            </w:tcBorders>
          </w:tcPr>
          <w:p>
            <w:pPr>
              <w:pStyle w:val="36"/>
              <w:jc w:val="center"/>
              <w:rPr>
                <w:rFonts w:ascii="Arial" w:hAnsi="Arial" w:eastAsia="宋体" w:cs="Times New Roman"/>
                <w:kern w:val="2"/>
                <w:sz w:val="18"/>
                <w:szCs w:val="24"/>
                <w:lang w:val="en-US" w:eastAsia="zh-CN" w:bidi="ar-SA"/>
              </w:rPr>
            </w:pPr>
          </w:p>
        </w:tc>
        <w:tc>
          <w:tcPr>
            <w:tcW w:w="1459" w:type="dxa"/>
            <w:tcBorders>
              <w:tl2br w:val="nil"/>
              <w:tr2bl w:val="nil"/>
            </w:tcBorders>
          </w:tcPr>
          <w:p>
            <w:pPr>
              <w:pStyle w:val="35"/>
              <w:rPr>
                <w:rFonts w:hint="eastAsia" w:eastAsia="宋体"/>
                <w:lang w:val="en-US" w:eastAsia="zh-CN"/>
              </w:rPr>
            </w:pPr>
            <w:r>
              <w:rPr>
                <w:rFonts w:hint="eastAsia"/>
                <w:lang w:val="en-US" w:eastAsia="zh-CN"/>
              </w:rPr>
              <w:t>3</w:t>
            </w:r>
            <w:r>
              <w:rPr>
                <w:rFonts w:hint="eastAsia" w:eastAsia="宋体" w:cs="Times New Roman"/>
                <w:lang w:val="en-US" w:eastAsia="zh-CN"/>
              </w:rPr>
              <w:t>µs</w:t>
            </w:r>
          </w:p>
        </w:tc>
        <w:tc>
          <w:tcPr>
            <w:tcW w:w="1015" w:type="dxa"/>
            <w:tcBorders>
              <w:tl2br w:val="nil"/>
              <w:tr2bl w:val="nil"/>
            </w:tcBorders>
          </w:tcPr>
          <w:p>
            <w:pPr>
              <w:pStyle w:val="35"/>
              <w:rPr>
                <w:lang w:val="en-US"/>
              </w:rPr>
            </w:pPr>
            <w:r>
              <w:rPr>
                <w:lang w:val="en-US"/>
              </w:rPr>
              <w:t>33</w:t>
            </w:r>
          </w:p>
        </w:tc>
        <w:tc>
          <w:tcPr>
            <w:tcW w:w="739" w:type="dxa"/>
            <w:vMerge w:val="continue"/>
            <w:tcBorders>
              <w:tl2br w:val="nil"/>
              <w:tr2bl w:val="nil"/>
            </w:tcBorders>
          </w:tcPr>
          <w:p>
            <w:pPr>
              <w:pStyle w:val="35"/>
              <w:rPr>
                <w:lang w:val="en-US"/>
              </w:rPr>
            </w:pPr>
          </w:p>
        </w:tc>
        <w:tc>
          <w:tcPr>
            <w:tcW w:w="784" w:type="dxa"/>
            <w:vMerge w:val="continue"/>
            <w:tcBorders>
              <w:tl2br w:val="nil"/>
              <w:tr2bl w:val="nil"/>
            </w:tcBorders>
          </w:tcPr>
          <w:p>
            <w:pPr>
              <w:pStyle w:val="35"/>
              <w:rPr>
                <w:lang w:val="en-US"/>
              </w:rPr>
            </w:pPr>
          </w:p>
        </w:tc>
        <w:tc>
          <w:tcPr>
            <w:tcW w:w="738" w:type="dxa"/>
            <w:vMerge w:val="continue"/>
            <w:tcBorders>
              <w:tl2br w:val="nil"/>
              <w:tr2bl w:val="nil"/>
            </w:tcBorders>
          </w:tcPr>
          <w:p>
            <w:pPr>
              <w:pStyle w:val="35"/>
              <w:rPr>
                <w:lang w:val="en-US"/>
              </w:rPr>
            </w:pPr>
          </w:p>
        </w:tc>
      </w:tr>
    </w:tbl>
    <w:p>
      <w:pPr>
        <w:pStyle w:val="9"/>
        <w:numPr>
          <w:ilvl w:val="0"/>
          <w:numId w:val="0"/>
        </w:numPr>
        <w:bidi w:val="0"/>
        <w:ind w:leftChars="0"/>
        <w:rPr>
          <w:rFonts w:hint="eastAsia"/>
          <w:lang w:val="en-US" w:eastAsia="zh-CN"/>
        </w:rPr>
      </w:pPr>
      <w:r>
        <w:rPr>
          <w:rFonts w:hint="eastAsia"/>
          <w:lang w:val="en-US" w:eastAsia="zh-CN"/>
        </w:rPr>
        <w:t>In previous meeting, for intra-band contiguous CA, it has been approved to reuse same principle as in legacy, i.e. not define MRTD requirements. While for inter-band CA, companies</w:t>
      </w:r>
      <w:r>
        <w:rPr>
          <w:rFonts w:hint="default"/>
          <w:lang w:val="en-US" w:eastAsia="zh-CN"/>
        </w:rPr>
        <w:t>’</w:t>
      </w:r>
      <w:r>
        <w:rPr>
          <w:rFonts w:hint="eastAsia"/>
          <w:lang w:val="en-US" w:eastAsia="zh-CN"/>
        </w:rPr>
        <w:t xml:space="preserve"> views are still diverse. Actually we can derive the MRTD through BS TAE and the propagation delay difference, that is MRTD = </w:t>
      </w:r>
      <w:r>
        <w:rPr>
          <w:highlight w:val="none"/>
        </w:rPr>
        <w:t>ΔT</w:t>
      </w:r>
      <w:r>
        <w:rPr>
          <w:highlight w:val="none"/>
          <w:vertAlign w:val="subscript"/>
        </w:rPr>
        <w:t>sync</w:t>
      </w:r>
      <w:r>
        <w:rPr>
          <w:rFonts w:hint="eastAsia"/>
          <w:highlight w:val="none"/>
          <w:lang w:val="en-US" w:eastAsia="zh-CN"/>
        </w:rPr>
        <w:t>+</w:t>
      </w:r>
      <w:r>
        <w:rPr>
          <w:highlight w:val="none"/>
          <w:lang w:val="en-US"/>
        </w:rPr>
        <w:t>ΔT</w:t>
      </w:r>
      <w:r>
        <w:rPr>
          <w:highlight w:val="none"/>
          <w:vertAlign w:val="subscript"/>
          <w:lang w:val="en-US"/>
        </w:rPr>
        <w:t>prop</w:t>
      </w:r>
      <w:r>
        <w:rPr>
          <w:rFonts w:hint="eastAsia"/>
          <w:lang w:val="en-US" w:eastAsia="zh-CN"/>
        </w:rPr>
        <w:t xml:space="preserve">, where </w:t>
      </w:r>
      <w:r>
        <w:rPr>
          <w:highlight w:val="none"/>
        </w:rPr>
        <w:t>ΔT</w:t>
      </w:r>
      <w:r>
        <w:rPr>
          <w:highlight w:val="none"/>
          <w:vertAlign w:val="subscript"/>
        </w:rPr>
        <w:t>sync</w:t>
      </w:r>
      <w:r>
        <w:rPr>
          <w:rFonts w:hint="eastAsia"/>
          <w:lang w:val="en-US" w:eastAsia="zh-CN"/>
        </w:rPr>
        <w:t xml:space="preserve"> = BS TAE, </w:t>
      </w:r>
      <w:r>
        <w:rPr>
          <w:highlight w:val="none"/>
          <w:lang w:val="en-US"/>
        </w:rPr>
        <w:t>ΔT</w:t>
      </w:r>
      <w:r>
        <w:rPr>
          <w:highlight w:val="none"/>
          <w:vertAlign w:val="subscript"/>
          <w:lang w:val="en-US"/>
        </w:rPr>
        <w:t>prop</w:t>
      </w:r>
      <w:r>
        <w:rPr>
          <w:rFonts w:hint="eastAsia"/>
          <w:lang w:val="en-US" w:eastAsia="zh-CN"/>
        </w:rPr>
        <w:t xml:space="preserve"> is the relative propagation delay difference. Due to co-located deployment, the component of </w:t>
      </w:r>
      <w:r>
        <w:rPr>
          <w:highlight w:val="none"/>
          <w:lang w:val="en-US"/>
        </w:rPr>
        <w:t>ΔT</w:t>
      </w:r>
      <w:r>
        <w:rPr>
          <w:highlight w:val="none"/>
          <w:vertAlign w:val="subscript"/>
          <w:lang w:val="en-US"/>
        </w:rPr>
        <w:t>prop</w:t>
      </w:r>
      <w:r>
        <w:rPr>
          <w:rFonts w:hint="eastAsia"/>
          <w:lang w:val="en-US" w:eastAsia="zh-CN"/>
        </w:rPr>
        <w:t xml:space="preserve"> is tiny, so the BS TAE dominates the MRTD. </w:t>
      </w:r>
    </w:p>
    <w:p>
      <w:pPr>
        <w:pStyle w:val="9"/>
        <w:numPr>
          <w:ilvl w:val="0"/>
          <w:numId w:val="0"/>
        </w:numPr>
        <w:bidi w:val="0"/>
        <w:ind w:leftChars="0"/>
        <w:rPr>
          <w:rFonts w:hint="eastAsia"/>
          <w:lang w:val="en-US" w:eastAsia="zh-CN"/>
        </w:rPr>
      </w:pPr>
      <w:r>
        <w:rPr>
          <w:rFonts w:hint="eastAsia"/>
          <w:lang w:val="en-US" w:eastAsia="zh-CN"/>
        </w:rPr>
        <w:t>Regarding the existing MRTD requirement for inter-band CA, actually the existing requirements(33µs) is based on the assumption of non co-located CA. While here for inter-band CA of ATG, the deployment is co-located CA, different from the legacy assumption.</w:t>
      </w:r>
    </w:p>
    <w:p>
      <w:pPr>
        <w:pStyle w:val="9"/>
        <w:bidi w:val="0"/>
        <w:rPr>
          <w:rFonts w:hint="eastAsia"/>
          <w:b/>
          <w:bCs/>
          <w:lang w:val="en-US" w:eastAsia="zh-CN"/>
        </w:rPr>
      </w:pPr>
      <w:r>
        <w:rPr>
          <w:rFonts w:hint="eastAsia"/>
          <w:b/>
          <w:bCs/>
          <w:lang w:val="en-US" w:eastAsia="zh-CN"/>
        </w:rPr>
        <w:t>Observation 1: For legacy requirements of MRTD for inter-band CA, the basic assumption is non co-located deployment, which is different from the assumption of co-located deployment in R19 ATG.</w:t>
      </w:r>
    </w:p>
    <w:p>
      <w:pPr>
        <w:pStyle w:val="9"/>
        <w:bidi w:val="0"/>
        <w:rPr>
          <w:rFonts w:hint="eastAsia"/>
          <w:lang w:val="en-US" w:eastAsia="zh-CN"/>
        </w:rPr>
      </w:pPr>
      <w:r>
        <w:rPr>
          <w:rFonts w:hint="eastAsia"/>
          <w:lang w:val="en-US" w:eastAsia="zh-CN"/>
        </w:rPr>
        <w:t>Furthermore, as analyzed above, limited to the special deployment of ATG CPE in airplane, the CPE implementation architecture is more or less different from normal handheld UE or CPE. So we can not assume the ATG CPE supports 33us of MRTD just because normal handheld UE and CPE do. For the case of common Rx beam assumed between a certain beam pair, a single RF chain/antenna panel is one of the possible UE implementation. Under such UE implementation, it is hard to handle as much as 33 us of MRTD. So we need to identify the MRTD from the perspective of ATG scenario instead of legacy normal UE assumption.</w:t>
      </w:r>
    </w:p>
    <w:p>
      <w:pPr>
        <w:pStyle w:val="9"/>
        <w:bidi w:val="0"/>
        <w:rPr>
          <w:rFonts w:hint="default"/>
          <w:lang w:val="en-US" w:eastAsia="zh-CN"/>
        </w:rPr>
      </w:pPr>
      <w:r>
        <w:rPr>
          <w:rFonts w:hint="eastAsia"/>
          <w:b/>
          <w:bCs/>
          <w:lang w:val="en-US" w:eastAsia="zh-CN"/>
        </w:rPr>
        <w:t>Observation 2: For the UE supporting Case 4, a single RF chain/antenna panel is one of the possible UE implementation in ATG scenario.</w:t>
      </w:r>
    </w:p>
    <w:p>
      <w:pPr>
        <w:pStyle w:val="9"/>
        <w:bidi w:val="0"/>
        <w:rPr>
          <w:rFonts w:hint="default"/>
          <w:lang w:val="en-US" w:eastAsia="zh-CN"/>
        </w:rPr>
      </w:pPr>
      <w:r>
        <w:rPr>
          <w:rFonts w:hint="eastAsia"/>
          <w:lang w:val="en-US" w:eastAsia="zh-CN"/>
        </w:rPr>
        <w:t>As a result, it is straightforward to define the MRTD of inter-band CA as 3µs for R19 ATG. Actually in practice, the assumption of 3µs of BS TAE is too conservative, the actual time error between different antenna connectors or TAB connectors could be much superior than this worst case. So the 3µs MRTD is accommodatable enough.</w:t>
      </w:r>
    </w:p>
    <w:p>
      <w:pPr>
        <w:pStyle w:val="9"/>
        <w:bidi w:val="0"/>
        <w:rPr>
          <w:rFonts w:hint="default"/>
          <w:lang w:val="en-US" w:eastAsia="zh-CN"/>
        </w:rPr>
      </w:pPr>
      <w:r>
        <w:rPr>
          <w:rFonts w:hint="eastAsia"/>
          <w:b/>
          <w:bCs/>
          <w:lang w:val="en-US" w:eastAsia="zh-CN"/>
        </w:rPr>
        <w:t>Proposal 4: For inter-band CA of R19 ATG, the MRTD would be not larger than 3µs.</w:t>
      </w:r>
    </w:p>
    <w:p>
      <w:pPr>
        <w:pStyle w:val="3"/>
        <w:numPr>
          <w:ilvl w:val="0"/>
          <w:numId w:val="0"/>
        </w:numPr>
        <w:bidi w:val="0"/>
        <w:ind w:leftChars="0"/>
        <w:rPr>
          <w:rFonts w:hint="default"/>
          <w:lang w:val="en-US" w:eastAsia="zh-CN"/>
        </w:rPr>
      </w:pPr>
      <w:r>
        <w:rPr>
          <w:rFonts w:hint="eastAsia"/>
          <w:lang w:val="en-US" w:eastAsia="zh-CN"/>
        </w:rPr>
        <w:t>2.3 Measurement procedure</w:t>
      </w:r>
    </w:p>
    <w:p>
      <w:pPr>
        <w:pStyle w:val="9"/>
        <w:bidi w:val="0"/>
        <w:rPr>
          <w:rFonts w:hint="eastAsia" w:cs="Arial"/>
          <w:b w:val="0"/>
          <w:bCs w:val="0"/>
          <w:u w:val="single"/>
          <w:lang w:val="en-US" w:eastAsia="zh-CN"/>
        </w:rPr>
      </w:pPr>
      <w:r>
        <w:rPr>
          <w:rFonts w:hint="eastAsia" w:cs="Arial"/>
          <w:b w:val="0"/>
          <w:bCs w:val="0"/>
          <w:u w:val="single"/>
          <w:lang w:val="en-US" w:eastAsia="zh-CN"/>
        </w:rPr>
        <w:t>Deactivated SCell measurement</w:t>
      </w:r>
    </w:p>
    <w:p>
      <w:pPr>
        <w:pStyle w:val="9"/>
        <w:bidi w:val="0"/>
        <w:rPr>
          <w:rFonts w:hint="default"/>
          <w:lang w:val="en-US" w:eastAsia="zh-CN"/>
        </w:rPr>
      </w:pPr>
      <w:r>
        <w:rPr>
          <w:rFonts w:hint="eastAsia"/>
          <w:lang w:val="en-US" w:eastAsia="zh-CN"/>
        </w:rPr>
        <w:t>R18 ATG has already defined the intra-f measurement requirements for PCell, which is also applicable to the activated SCell measurement. For the SCell, after it is added but still not activated, UE would perform deactivated SCell measurement. We need to determine whether to consider Rx beam sweeping factor N1 during the deactivated SCell measurement for the antenna phase array assumption. To accommodate the deactivated SCell measurement and other intra-frequency neighbour cell(s) measurement, since different cell location, so UE needs to apply different Rx beam for them, so the Rx beam sweeping factor N1 is needed. Furthermore, the L3/L1 measurement sharing factor K</w:t>
      </w:r>
      <w:r>
        <w:rPr>
          <w:rFonts w:hint="eastAsia"/>
          <w:sz w:val="13"/>
          <w:szCs w:val="13"/>
          <w:lang w:val="en-US" w:eastAsia="zh-CN"/>
        </w:rPr>
        <w:t>layer1_measurement</w:t>
      </w:r>
      <w:r>
        <w:rPr>
          <w:rFonts w:hint="eastAsia"/>
          <w:lang w:val="en-US" w:eastAsia="zh-CN"/>
        </w:rPr>
        <w:t xml:space="preserve"> is needed as well.</w:t>
      </w:r>
    </w:p>
    <w:p>
      <w:pPr>
        <w:pStyle w:val="9"/>
        <w:bidi w:val="0"/>
        <w:rPr>
          <w:rFonts w:hint="default"/>
          <w:b/>
          <w:bCs/>
          <w:lang w:val="en-US" w:eastAsia="zh-CN"/>
        </w:rPr>
      </w:pPr>
      <w:r>
        <w:rPr>
          <w:rFonts w:hint="eastAsia"/>
          <w:b/>
          <w:bCs/>
          <w:lang w:val="en-US" w:eastAsia="zh-CN"/>
        </w:rPr>
        <w:t>Proposal 5: For the deactivated SCell measurement, under the assumption of antenna phase array, the beam sweeping factor N1 and L3/L1 measurement sharing factor K</w:t>
      </w:r>
      <w:r>
        <w:rPr>
          <w:rFonts w:hint="eastAsia"/>
          <w:b/>
          <w:bCs/>
          <w:sz w:val="13"/>
          <w:szCs w:val="13"/>
          <w:lang w:val="en-US" w:eastAsia="zh-CN"/>
        </w:rPr>
        <w:t>layer1_measurement</w:t>
      </w:r>
      <w:r>
        <w:rPr>
          <w:rFonts w:hint="eastAsia"/>
          <w:b/>
          <w:bCs/>
          <w:lang w:val="en-US" w:eastAsia="zh-CN"/>
        </w:rPr>
        <w:t xml:space="preserve"> is needed. Reuse the value of N1 and K</w:t>
      </w:r>
      <w:r>
        <w:rPr>
          <w:rFonts w:hint="eastAsia"/>
          <w:b/>
          <w:bCs/>
          <w:sz w:val="13"/>
          <w:szCs w:val="13"/>
          <w:lang w:val="en-US" w:eastAsia="zh-CN"/>
        </w:rPr>
        <w:t xml:space="preserve">layer1_measurement </w:t>
      </w:r>
      <w:r>
        <w:rPr>
          <w:rFonts w:hint="eastAsia"/>
          <w:b/>
          <w:bCs/>
          <w:lang w:val="en-US" w:eastAsia="zh-CN"/>
        </w:rPr>
        <w:t>in R18 ATG.</w:t>
      </w:r>
    </w:p>
    <w:p>
      <w:pPr>
        <w:pStyle w:val="9"/>
        <w:bidi w:val="0"/>
        <w:rPr>
          <w:rFonts w:hint="eastAsia" w:cs="Arial"/>
          <w:b w:val="0"/>
          <w:bCs w:val="0"/>
          <w:u w:val="single"/>
          <w:lang w:val="en-US" w:eastAsia="zh-CN"/>
        </w:rPr>
      </w:pPr>
      <w:r>
        <w:rPr>
          <w:rFonts w:hint="eastAsia" w:cs="Arial"/>
          <w:b w:val="0"/>
          <w:bCs w:val="0"/>
          <w:u w:val="single"/>
          <w:lang w:val="en-US" w:eastAsia="zh-CN"/>
        </w:rPr>
        <w:t>Scheduling restriction</w:t>
      </w:r>
    </w:p>
    <w:p>
      <w:pPr>
        <w:pStyle w:val="9"/>
        <w:bidi w:val="0"/>
        <w:rPr>
          <w:rFonts w:hint="eastAsia"/>
          <w:lang w:val="en-US" w:eastAsia="zh-CN"/>
        </w:rPr>
      </w:pPr>
      <w:r>
        <w:rPr>
          <w:rFonts w:hint="eastAsia"/>
          <w:lang w:val="en-US" w:eastAsia="zh-CN"/>
        </w:rPr>
        <w:t xml:space="preserve">In R18 ATG, scheduling restriction were identified for omni-directional antenna and antenna array separately. For omni-directional antenna, reuse legacy scheduling restriction. For antenna array, restricted by the beam steering at a single direction at one time, additional restriction compared with legacy FR1 was introduced, i.e. the UE can not receive </w:t>
      </w:r>
      <w:r>
        <w:rPr>
          <w:lang w:eastAsia="zh-CN"/>
        </w:rPr>
        <w:t>PDCCH/PDSCH/TRS/CSI-RS for CQI</w:t>
      </w:r>
      <w:r>
        <w:rPr>
          <w:rFonts w:hint="eastAsia"/>
          <w:lang w:val="en-US" w:eastAsia="zh-CN"/>
        </w:rPr>
        <w:t xml:space="preserve"> when performing neighbour cell measurements. Take intra-frequency measurements for RSRP/SINR as example, we listed the additional restriction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hint="default" w:eastAsia="宋体"/>
                <w:lang w:val="en-US" w:eastAsia="zh-CN"/>
              </w:rPr>
            </w:pPr>
            <w:r>
              <w:rPr>
                <w:rFonts w:hint="eastAsia"/>
              </w:rPr>
              <w:t>W</w:t>
            </w:r>
            <w:r>
              <w:t xml:space="preserve">hen the ATG UE </w:t>
            </w:r>
            <w:r>
              <w:rPr>
                <w:highlight w:val="none"/>
              </w:rPr>
              <w:t xml:space="preserve">with phase array antenna performs intra-frequency neighbouring cell measurements </w:t>
            </w:r>
            <w:r>
              <w:t>in TDD band, the following restrictions apply due to SS-RSRP or SS-SINR measurement:</w:t>
            </w:r>
            <w:r>
              <w:rPr>
                <w:rFonts w:hint="eastAsia"/>
                <w:lang w:val="en-US" w:eastAsia="zh-CN"/>
              </w:rPr>
              <w:t xml:space="preserve"> </w:t>
            </w:r>
          </w:p>
          <w:p>
            <w:pPr>
              <w:pStyle w:val="31"/>
              <w:rPr>
                <w:lang w:eastAsia="zh-CN"/>
              </w:rPr>
            </w:pPr>
            <w:r>
              <w:rPr>
                <w:lang w:val="en-US"/>
              </w:rPr>
              <w:t>-</w:t>
            </w:r>
            <w:r>
              <w:rPr>
                <w:lang w:val="en-US"/>
              </w:rPr>
              <w:tab/>
            </w:r>
            <w:r>
              <w:rPr>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pPr>
              <w:pStyle w:val="31"/>
              <w:rPr>
                <w:rFonts w:hint="default"/>
                <w:vertAlign w:val="baseline"/>
                <w:lang w:val="en-US" w:eastAsia="zh-CN"/>
              </w:rPr>
            </w:pPr>
            <w:r>
              <w:rPr>
                <w:lang w:val="en-US"/>
              </w:rPr>
              <w:t>-</w:t>
            </w:r>
            <w:r>
              <w:rPr>
                <w:lang w:val="en-US"/>
              </w:rPr>
              <w:tab/>
            </w:r>
            <w:r>
              <w:rPr>
                <w:lang w:val="en-US"/>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tc>
      </w:tr>
    </w:tbl>
    <w:p>
      <w:pPr>
        <w:pStyle w:val="9"/>
        <w:bidi w:val="0"/>
        <w:rPr>
          <w:rFonts w:hint="eastAsia"/>
          <w:lang w:val="en-US" w:eastAsia="zh-CN"/>
        </w:rPr>
      </w:pPr>
      <w:r>
        <w:rPr>
          <w:rFonts w:hint="eastAsia"/>
          <w:lang w:val="en-US" w:eastAsia="zh-CN"/>
        </w:rPr>
        <w:t>For R19 ATG, due to the scenario is CA case, firstly the scheduling restriction extension to intra-band/inter-band CA should be identified. The UE antenna assumption would impact the exact strategy of scheduling restriction. In details, we discuss intra-band CA and inter-band CA separately.</w:t>
      </w:r>
    </w:p>
    <w:p>
      <w:pPr>
        <w:pStyle w:val="9"/>
        <w:bidi w:val="0"/>
        <w:rPr>
          <w:rFonts w:hint="eastAsia"/>
          <w:lang w:val="en-US" w:eastAsia="zh-CN"/>
        </w:rPr>
      </w:pPr>
      <w:r>
        <w:rPr>
          <w:rFonts w:hint="eastAsia"/>
          <w:b/>
          <w:bCs/>
          <w:lang w:val="en-US" w:eastAsia="zh-CN"/>
        </w:rPr>
        <w:t xml:space="preserve">Proposal 6:The scheduling restriction extension to intra-band/inter-band CA should be identified. </w:t>
      </w:r>
      <w:r>
        <w:rPr>
          <w:rFonts w:hint="eastAsia"/>
          <w:lang w:val="en-US" w:eastAsia="zh-CN"/>
        </w:rPr>
        <w:t>For intra-band CA, based on previous agreements, same antenna type should be applied for each frequency. So either omni-directional antenna is applied for both measurements and other signal reception, or phase antenna array is applied for both measurements and other signal reception. Under the assumption of phase antenna array, the measurement on neighbour cell would lead to scheduling restriction within the whole band. Therefore, just extend the R18 ATG scheduling restriction to all the intra-band serving cell is fine.</w:t>
      </w:r>
    </w:p>
    <w:p>
      <w:pPr>
        <w:pStyle w:val="9"/>
        <w:bidi w:val="0"/>
        <w:rPr>
          <w:rFonts w:hint="eastAsia"/>
          <w:b/>
          <w:bCs/>
          <w:lang w:val="en-US" w:eastAsia="zh-CN"/>
        </w:rPr>
      </w:pPr>
      <w:r>
        <w:rPr>
          <w:rFonts w:hint="eastAsia"/>
          <w:b/>
          <w:bCs/>
          <w:lang w:val="en-US" w:eastAsia="zh-CN"/>
        </w:rPr>
        <w:t>Proposal 7: For intra-band CA, directly extend the R18 ATG scheduling restriction to all the intra-band serving cell. No need other change. The exact wording could be captured as:</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When intra-band carrier aggregation is performed, the scheduling restrictions due to a given serving cell also apply to all other serving cells in the same band on the symbols that fully or partially overlap with the aforementioned restricted symbols.</w:t>
      </w:r>
      <w:r>
        <w:rPr>
          <w:rFonts w:hint="eastAsia"/>
          <w:b/>
          <w:bCs/>
          <w:lang w:val="en-US" w:eastAsia="zh-CN"/>
        </w:rPr>
        <w:t xml:space="preserve"> </w:t>
      </w:r>
    </w:p>
    <w:p>
      <w:pPr>
        <w:pStyle w:val="9"/>
        <w:bidi w:val="0"/>
        <w:rPr>
          <w:rFonts w:hint="eastAsia"/>
          <w:lang w:val="en-US" w:eastAsia="zh-CN"/>
        </w:rPr>
      </w:pPr>
      <w:r>
        <w:rPr>
          <w:rFonts w:hint="eastAsia"/>
          <w:lang w:val="en-US" w:eastAsia="zh-CN"/>
        </w:rPr>
        <w:t>For inter-band CA, different from intra-band CA, not only same or different antenna type is applicable between multiple bands, but also common or separate Rx beam could be assumed between multiple bands. These two points infer the exact scheme of scheduling restriction. We discuss each case one by one.</w:t>
      </w:r>
    </w:p>
    <w:p>
      <w:pPr>
        <w:pStyle w:val="9"/>
        <w:numPr>
          <w:ilvl w:val="0"/>
          <w:numId w:val="8"/>
        </w:numPr>
        <w:bidi w:val="0"/>
        <w:ind w:left="420" w:leftChars="0" w:hanging="420" w:firstLineChars="0"/>
        <w:rPr>
          <w:rFonts w:hint="eastAsia"/>
          <w:lang w:val="en-US" w:eastAsia="zh-CN"/>
        </w:rPr>
      </w:pPr>
      <w:r>
        <w:rPr>
          <w:rFonts w:hint="eastAsia"/>
          <w:lang w:val="en-US" w:eastAsia="zh-CN"/>
        </w:rPr>
        <w:t>Case 1: omnidirectional antennas on two bands</w:t>
      </w:r>
    </w:p>
    <w:p>
      <w:pPr>
        <w:pStyle w:val="9"/>
        <w:numPr>
          <w:ilvl w:val="0"/>
          <w:numId w:val="8"/>
        </w:numPr>
        <w:bidi w:val="0"/>
        <w:ind w:left="420" w:leftChars="0" w:hanging="420" w:firstLineChars="0"/>
        <w:rPr>
          <w:rFonts w:hint="eastAsia"/>
          <w:lang w:val="en-US" w:eastAsia="zh-CN"/>
        </w:rPr>
      </w:pPr>
      <w:r>
        <w:rPr>
          <w:rFonts w:hint="eastAsia"/>
          <w:lang w:val="en-US" w:eastAsia="zh-CN"/>
        </w:rPr>
        <w:t>Case 2&amp;3: omnidirectional antennas on one band, and phase antenna array on the other band</w:t>
      </w:r>
    </w:p>
    <w:p>
      <w:pPr>
        <w:pStyle w:val="9"/>
        <w:numPr>
          <w:ilvl w:val="0"/>
          <w:numId w:val="8"/>
        </w:numPr>
        <w:bidi w:val="0"/>
        <w:ind w:left="420" w:leftChars="0" w:hanging="420" w:firstLineChars="0"/>
        <w:rPr>
          <w:rFonts w:hint="eastAsia"/>
          <w:lang w:val="en-US" w:eastAsia="zh-CN"/>
        </w:rPr>
      </w:pPr>
      <w:r>
        <w:rPr>
          <w:rFonts w:hint="eastAsia"/>
          <w:lang w:val="en-US" w:eastAsia="zh-CN"/>
        </w:rPr>
        <w:t>Case 4: phase antenna array on two bands with common Rx beam assumption</w:t>
      </w:r>
    </w:p>
    <w:p>
      <w:pPr>
        <w:pStyle w:val="9"/>
        <w:numPr>
          <w:ilvl w:val="0"/>
          <w:numId w:val="8"/>
        </w:numPr>
        <w:bidi w:val="0"/>
        <w:ind w:left="420" w:leftChars="0" w:hanging="420" w:firstLineChars="0"/>
        <w:rPr>
          <w:rFonts w:hint="eastAsia"/>
          <w:lang w:val="en-US" w:eastAsia="zh-CN"/>
        </w:rPr>
      </w:pPr>
      <w:r>
        <w:rPr>
          <w:rFonts w:hint="eastAsia"/>
          <w:lang w:val="en-US" w:eastAsia="zh-CN"/>
        </w:rPr>
        <w:t>Case 5: phase antenna array on two bands with separate Rx beam assumption</w:t>
      </w:r>
    </w:p>
    <w:p>
      <w:pPr>
        <w:pStyle w:val="9"/>
        <w:numPr>
          <w:ilvl w:val="0"/>
          <w:numId w:val="0"/>
        </w:numPr>
        <w:bidi w:val="0"/>
        <w:ind w:leftChars="0"/>
        <w:rPr>
          <w:rFonts w:hint="eastAsia"/>
          <w:lang w:val="en-US" w:eastAsia="zh-CN"/>
        </w:rPr>
      </w:pPr>
      <w:r>
        <w:rPr>
          <w:rFonts w:hint="eastAsia"/>
          <w:lang w:val="en-US" w:eastAsia="zh-CN"/>
        </w:rPr>
        <w:t>For Case 1, just reuse legacy TN scheduling restriction scheme for FR1.</w:t>
      </w:r>
    </w:p>
    <w:p>
      <w:pPr>
        <w:pStyle w:val="9"/>
        <w:numPr>
          <w:ilvl w:val="0"/>
          <w:numId w:val="0"/>
        </w:numPr>
        <w:bidi w:val="0"/>
        <w:ind w:leftChars="0"/>
        <w:rPr>
          <w:rFonts w:hint="default"/>
          <w:lang w:val="en-US" w:eastAsia="zh-CN"/>
        </w:rPr>
      </w:pPr>
      <w:r>
        <w:rPr>
          <w:rFonts w:hint="eastAsia"/>
          <w:lang w:val="en-US" w:eastAsia="zh-CN"/>
        </w:rPr>
        <w:t>For Case 2&amp;3, within the band of phase antenna array assumed, reuse the above suggestion for intra-band CA. Within the band of omnidirectional antennas assumed, reuse legacy TN scheduling restriction scheme for FR1. Across the two bands, since independent antennas applied, no scheduling restriction.</w:t>
      </w:r>
    </w:p>
    <w:p>
      <w:pPr>
        <w:pStyle w:val="9"/>
        <w:numPr>
          <w:ilvl w:val="0"/>
          <w:numId w:val="0"/>
        </w:numPr>
        <w:bidi w:val="0"/>
        <w:ind w:leftChars="0"/>
        <w:rPr>
          <w:rFonts w:hint="eastAsia"/>
          <w:lang w:val="en-US" w:eastAsia="zh-CN"/>
        </w:rPr>
      </w:pPr>
      <w:r>
        <w:rPr>
          <w:rFonts w:hint="eastAsia"/>
          <w:lang w:val="en-US" w:eastAsia="zh-CN"/>
        </w:rPr>
        <w:t>For Case 4, honestly speaking, this is the most restricted case. Any neighbour cell measurement in one band would lead to scheduling restriction in a serving cell of the other band. So extend the R18 ATG scheduling restriction to all the intra-band and inter-band serving cells.</w:t>
      </w:r>
    </w:p>
    <w:p>
      <w:pPr>
        <w:pStyle w:val="9"/>
        <w:numPr>
          <w:ilvl w:val="0"/>
          <w:numId w:val="0"/>
        </w:numPr>
        <w:bidi w:val="0"/>
        <w:ind w:leftChars="0"/>
        <w:rPr>
          <w:rFonts w:hint="default"/>
          <w:lang w:val="en-US" w:eastAsia="zh-CN"/>
        </w:rPr>
      </w:pPr>
      <w:r>
        <w:rPr>
          <w:rFonts w:hint="eastAsia"/>
          <w:lang w:val="en-US" w:eastAsia="zh-CN"/>
        </w:rPr>
        <w:t>For Case 5, similar as above intra-band case, i.e. only extend the R18 ATG scheduling restriction to the intra-band serving cells. No impact across bands.</w:t>
      </w:r>
    </w:p>
    <w:p>
      <w:pPr>
        <w:pStyle w:val="9"/>
        <w:bidi w:val="0"/>
        <w:rPr>
          <w:rFonts w:hint="eastAsia"/>
          <w:b/>
          <w:bCs/>
          <w:lang w:val="en-US" w:eastAsia="zh-CN"/>
        </w:rPr>
      </w:pPr>
      <w:r>
        <w:rPr>
          <w:rFonts w:hint="eastAsia"/>
          <w:b/>
          <w:bCs/>
          <w:lang w:val="en-US" w:eastAsia="zh-CN"/>
        </w:rPr>
        <w:t>Proposal 8: For inter-band CA, identify the scheduling restriction for all the antenna assumption cases one by one.</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For Case 1, reuse legacy TN scheduling restriction scheme for FR1.</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Case 2&amp;3, within the band of phase antenna array assumed, reuse the above suggestion for intra-band CA. Within the band of omnidirectional antennas assumed, reuse legacy TN scheduling restriction scheme for FR1. No scheduling restriction across bands.</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For Case 4, extend the R18 ATG scheduling restriction to all the intra-band and inter-band serving cells.</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Case 5, extend the R18 ATG scheduling restriction to all the intra-band serving cell. No scheduling restriction across bands.</w:t>
      </w:r>
    </w:p>
    <w:p>
      <w:pPr>
        <w:pStyle w:val="3"/>
        <w:numPr>
          <w:ilvl w:val="0"/>
          <w:numId w:val="0"/>
        </w:numPr>
        <w:bidi w:val="0"/>
        <w:ind w:leftChars="0"/>
        <w:rPr>
          <w:rFonts w:hint="eastAsia" w:cs="Arial"/>
          <w:b w:val="0"/>
          <w:bCs w:val="0"/>
          <w:u w:val="single"/>
          <w:lang w:val="en-US" w:eastAsia="zh-CN"/>
        </w:rPr>
      </w:pPr>
      <w:r>
        <w:rPr>
          <w:rFonts w:hint="eastAsia"/>
          <w:lang w:val="en-US" w:eastAsia="zh-CN"/>
        </w:rPr>
        <w:t>2.4 Signalling characteristics</w:t>
      </w:r>
    </w:p>
    <w:p>
      <w:pPr>
        <w:pStyle w:val="9"/>
        <w:bidi w:val="0"/>
        <w:rPr>
          <w:rFonts w:hint="eastAsia" w:cs="Arial"/>
          <w:b w:val="0"/>
          <w:bCs w:val="0"/>
          <w:u w:val="single"/>
          <w:lang w:val="en-US" w:eastAsia="zh-CN"/>
        </w:rPr>
      </w:pPr>
      <w:r>
        <w:rPr>
          <w:rFonts w:hint="eastAsia" w:cs="Arial"/>
          <w:b w:val="0"/>
          <w:bCs w:val="0"/>
          <w:u w:val="single"/>
          <w:lang w:val="en-US" w:eastAsia="zh-CN"/>
        </w:rPr>
        <w:t>Active BWP switch delay on multiple CCs</w:t>
      </w:r>
    </w:p>
    <w:p>
      <w:pPr>
        <w:pStyle w:val="9"/>
        <w:numPr>
          <w:ilvl w:val="0"/>
          <w:numId w:val="0"/>
        </w:numPr>
        <w:bidi w:val="0"/>
        <w:ind w:leftChars="0"/>
        <w:rPr>
          <w:rFonts w:hint="eastAsia"/>
          <w:lang w:val="en-US" w:eastAsia="zh-CN"/>
        </w:rPr>
      </w:pPr>
      <w:r>
        <w:rPr>
          <w:rFonts w:hint="eastAsia"/>
          <w:lang w:val="en-US" w:eastAsia="zh-CN"/>
        </w:rPr>
        <w:t>For active BWP switching, simultaneous BWP switching on multiple CCs could be considered for ATG CA scenario. The legacy simultaneous DCI/RRC/timer based BWP switching requirements on multiple CCs could be reused.</w:t>
      </w:r>
    </w:p>
    <w:p>
      <w:pPr>
        <w:pStyle w:val="9"/>
        <w:bidi w:val="0"/>
        <w:rPr>
          <w:rFonts w:hint="default"/>
          <w:b/>
          <w:bCs/>
          <w:lang w:val="en-US" w:eastAsia="zh-CN"/>
        </w:rPr>
      </w:pPr>
      <w:r>
        <w:rPr>
          <w:rFonts w:hint="eastAsia"/>
          <w:b/>
          <w:bCs/>
          <w:lang w:val="en-US" w:eastAsia="zh-CN"/>
        </w:rPr>
        <w:t>Proposal 9: Reuse legacy simultaneous DCI/RRC/timer based active BWP switching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numPr>
          <w:ilvl w:val="0"/>
          <w:numId w:val="0"/>
        </w:numPr>
        <w:bidi w:val="0"/>
        <w:ind w:leftChars="0"/>
        <w:rPr>
          <w:rFonts w:hint="eastAsia"/>
          <w:b/>
          <w:bCs/>
          <w:lang w:val="en-US" w:eastAsia="zh-CN"/>
        </w:rPr>
      </w:pPr>
      <w:r>
        <w:rPr>
          <w:rFonts w:hint="eastAsia"/>
          <w:b/>
          <w:bCs/>
          <w:lang w:val="en-US" w:eastAsia="zh-CN"/>
        </w:rPr>
        <w:t xml:space="preserve">Proposal 1: Confirm the understanding #2: Case 4 is not explicitly discussed in RF session, since no case 4 specific RF requirement. Case 4 UE implementation is possible. </w:t>
      </w:r>
    </w:p>
    <w:p>
      <w:pPr>
        <w:pStyle w:val="9"/>
        <w:numPr>
          <w:ilvl w:val="0"/>
          <w:numId w:val="0"/>
        </w:numPr>
        <w:bidi w:val="0"/>
        <w:ind w:leftChars="0"/>
        <w:rPr>
          <w:rFonts w:hint="eastAsia"/>
          <w:b/>
          <w:bCs/>
          <w:lang w:val="en-US" w:eastAsia="zh-CN"/>
        </w:rPr>
      </w:pPr>
      <w:r>
        <w:rPr>
          <w:rFonts w:hint="eastAsia"/>
          <w:b/>
          <w:bCs/>
          <w:lang w:val="en-US" w:eastAsia="zh-CN"/>
        </w:rPr>
        <w:t xml:space="preserve">Proposal 2: Both Case 4 and Case 5 are applicable for inter-band CA, UE could support either of them, up to UE implementation. </w:t>
      </w:r>
    </w:p>
    <w:p>
      <w:pPr>
        <w:pStyle w:val="9"/>
        <w:numPr>
          <w:ilvl w:val="0"/>
          <w:numId w:val="0"/>
        </w:numPr>
        <w:bidi w:val="0"/>
        <w:ind w:leftChars="0"/>
        <w:rPr>
          <w:rFonts w:hint="eastAsia"/>
          <w:b/>
          <w:bCs/>
          <w:lang w:val="en-US" w:eastAsia="zh-CN"/>
        </w:rPr>
      </w:pPr>
      <w:r>
        <w:rPr>
          <w:rFonts w:hint="eastAsia"/>
          <w:b/>
          <w:bCs/>
          <w:lang w:val="en-US" w:eastAsia="zh-CN"/>
        </w:rPr>
        <w:t xml:space="preserve">Proposal 3: To differentiate Case 4 and Case 5, an additional UE capability to indicate common or separate Rx beam is needed with per BC type for the bands in which UE supporting phase antenna array. </w:t>
      </w:r>
    </w:p>
    <w:p>
      <w:pPr>
        <w:pStyle w:val="9"/>
        <w:bidi w:val="0"/>
        <w:rPr>
          <w:rFonts w:hint="eastAsia"/>
          <w:b/>
          <w:bCs/>
          <w:lang w:val="en-US" w:eastAsia="zh-CN"/>
        </w:rPr>
      </w:pPr>
      <w:r>
        <w:rPr>
          <w:rFonts w:hint="eastAsia"/>
          <w:b/>
          <w:bCs/>
          <w:lang w:val="en-US" w:eastAsia="zh-CN"/>
        </w:rPr>
        <w:t>Observation 1: For legacy requirements of MRTD for inter-band CA, the basic assumption is non co-located deployment, which is different from the assumption of co-located deployment in R19 ATG.</w:t>
      </w:r>
    </w:p>
    <w:p>
      <w:pPr>
        <w:pStyle w:val="9"/>
        <w:bidi w:val="0"/>
        <w:rPr>
          <w:rFonts w:hint="default"/>
          <w:lang w:val="en-US" w:eastAsia="zh-CN"/>
        </w:rPr>
      </w:pPr>
      <w:r>
        <w:rPr>
          <w:rFonts w:hint="eastAsia"/>
          <w:b/>
          <w:bCs/>
          <w:lang w:val="en-US" w:eastAsia="zh-CN"/>
        </w:rPr>
        <w:t>Observation 2: For the UE supporting Case 4, a single RF chain/antenna panel is one of the possible UE implementation in ATG scenario.</w:t>
      </w:r>
    </w:p>
    <w:p>
      <w:pPr>
        <w:pStyle w:val="9"/>
        <w:bidi w:val="0"/>
        <w:rPr>
          <w:rFonts w:hint="default"/>
          <w:lang w:val="en-US" w:eastAsia="zh-CN"/>
        </w:rPr>
      </w:pPr>
      <w:r>
        <w:rPr>
          <w:rFonts w:hint="eastAsia"/>
          <w:b/>
          <w:bCs/>
          <w:lang w:val="en-US" w:eastAsia="zh-CN"/>
        </w:rPr>
        <w:t>Proposal 4: For inter-band CA of R19 ATG, the MRTD would be not larger than 3µs.</w:t>
      </w:r>
    </w:p>
    <w:p>
      <w:pPr>
        <w:pStyle w:val="9"/>
        <w:bidi w:val="0"/>
        <w:rPr>
          <w:rFonts w:hint="default"/>
          <w:b/>
          <w:bCs/>
          <w:lang w:val="en-US" w:eastAsia="zh-CN"/>
        </w:rPr>
      </w:pPr>
      <w:r>
        <w:rPr>
          <w:rFonts w:hint="eastAsia"/>
          <w:b/>
          <w:bCs/>
          <w:lang w:val="en-US" w:eastAsia="zh-CN"/>
        </w:rPr>
        <w:t>Proposal 5: For the deactivated SCell measurement, under the assumption of antenna phase array, the beam sweeping factor N1 and L3/L1 measurement sharing factor K</w:t>
      </w:r>
      <w:r>
        <w:rPr>
          <w:rFonts w:hint="eastAsia"/>
          <w:b/>
          <w:bCs/>
          <w:sz w:val="13"/>
          <w:szCs w:val="13"/>
          <w:lang w:val="en-US" w:eastAsia="zh-CN"/>
        </w:rPr>
        <w:t>layer1_measurement</w:t>
      </w:r>
      <w:r>
        <w:rPr>
          <w:rFonts w:hint="eastAsia"/>
          <w:b/>
          <w:bCs/>
          <w:lang w:val="en-US" w:eastAsia="zh-CN"/>
        </w:rPr>
        <w:t xml:space="preserve"> is needed. Reuse the value of N1 and K</w:t>
      </w:r>
      <w:r>
        <w:rPr>
          <w:rFonts w:hint="eastAsia"/>
          <w:b/>
          <w:bCs/>
          <w:sz w:val="13"/>
          <w:szCs w:val="13"/>
          <w:lang w:val="en-US" w:eastAsia="zh-CN"/>
        </w:rPr>
        <w:t xml:space="preserve">layer1_measurement </w:t>
      </w:r>
      <w:r>
        <w:rPr>
          <w:rFonts w:hint="eastAsia"/>
          <w:b/>
          <w:bCs/>
          <w:lang w:val="en-US" w:eastAsia="zh-CN"/>
        </w:rPr>
        <w:t>in R18 ATG.</w:t>
      </w:r>
    </w:p>
    <w:p>
      <w:pPr>
        <w:rPr>
          <w:rFonts w:hint="eastAsia"/>
          <w:b/>
          <w:bCs/>
          <w:lang w:val="en-US" w:eastAsia="zh-CN"/>
        </w:rPr>
      </w:pPr>
      <w:r>
        <w:rPr>
          <w:rFonts w:hint="eastAsia"/>
          <w:b/>
          <w:bCs/>
          <w:lang w:val="en-US" w:eastAsia="zh-CN"/>
        </w:rPr>
        <w:t xml:space="preserve">Proposal 6:The scheduling restriction extension to intra-band/inter-band CA should be identified. </w:t>
      </w:r>
    </w:p>
    <w:p>
      <w:pPr>
        <w:pStyle w:val="9"/>
        <w:bidi w:val="0"/>
        <w:rPr>
          <w:rFonts w:hint="eastAsia"/>
          <w:b/>
          <w:bCs/>
          <w:lang w:val="en-US" w:eastAsia="zh-CN"/>
        </w:rPr>
      </w:pPr>
      <w:r>
        <w:rPr>
          <w:rFonts w:hint="eastAsia"/>
          <w:b/>
          <w:bCs/>
          <w:lang w:val="en-US" w:eastAsia="zh-CN"/>
        </w:rPr>
        <w:t>Proposal 7: For intra-band CA, directly extend the R18 ATG scheduling restriction to all the intra-band serving cell. No need other change. The exact wording could be captured as:</w:t>
      </w:r>
    </w:p>
    <w:p>
      <w:pPr>
        <w:pStyle w:val="9"/>
        <w:numPr>
          <w:ilvl w:val="0"/>
          <w:numId w:val="7"/>
        </w:numPr>
        <w:bidi w:val="0"/>
        <w:ind w:left="420" w:leftChars="0" w:hanging="420" w:firstLineChars="0"/>
        <w:rPr>
          <w:rFonts w:hint="default"/>
          <w:b/>
          <w:bCs/>
          <w:lang w:val="en-US" w:eastAsia="zh-CN"/>
        </w:rPr>
      </w:pPr>
      <w:r>
        <w:rPr>
          <w:rFonts w:hint="default"/>
          <w:b/>
          <w:bCs/>
          <w:lang w:val="en-US" w:eastAsia="zh-CN"/>
        </w:rPr>
        <w:t>When intra-band carrier aggregation is performed, the scheduling restrictions due to a given serving cell also apply to all other serving cells in the same band on the symbols that fully or partially overlap with the aforementioned restricted symbols.</w:t>
      </w:r>
      <w:r>
        <w:rPr>
          <w:rFonts w:hint="eastAsia"/>
          <w:b/>
          <w:bCs/>
          <w:lang w:val="en-US" w:eastAsia="zh-CN"/>
        </w:rPr>
        <w:t xml:space="preserve"> </w:t>
      </w:r>
    </w:p>
    <w:p>
      <w:pPr>
        <w:pStyle w:val="9"/>
        <w:bidi w:val="0"/>
        <w:rPr>
          <w:rFonts w:hint="eastAsia"/>
          <w:b/>
          <w:bCs/>
          <w:lang w:val="en-US" w:eastAsia="zh-CN"/>
        </w:rPr>
      </w:pPr>
      <w:r>
        <w:rPr>
          <w:rFonts w:hint="eastAsia"/>
          <w:b/>
          <w:bCs/>
          <w:lang w:val="en-US" w:eastAsia="zh-CN"/>
        </w:rPr>
        <w:t>Proposal 8: For inter-band CA, identify the scheduling restriction for all the antenna assumption cases one by one.</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For Case 1, reuse legacy TN scheduling restriction scheme for FR1.</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Case 2&amp;3, within the band of phase antenna array assumed, reuse the above suggestion for intra-band CA. Within the band of omnidirectional antennas assumed, reuse legacy TN scheduling restriction scheme for FR1. No scheduling restriction across bands.</w:t>
      </w:r>
    </w:p>
    <w:p>
      <w:pPr>
        <w:pStyle w:val="9"/>
        <w:numPr>
          <w:ilvl w:val="0"/>
          <w:numId w:val="7"/>
        </w:numPr>
        <w:bidi w:val="0"/>
        <w:ind w:left="420" w:leftChars="0" w:hanging="420" w:firstLineChars="0"/>
        <w:rPr>
          <w:rFonts w:hint="eastAsia"/>
          <w:b/>
          <w:bCs/>
          <w:lang w:val="en-US" w:eastAsia="zh-CN"/>
        </w:rPr>
      </w:pPr>
      <w:r>
        <w:rPr>
          <w:rFonts w:hint="eastAsia"/>
          <w:b/>
          <w:bCs/>
          <w:lang w:val="en-US" w:eastAsia="zh-CN"/>
        </w:rPr>
        <w:t>For Case 4, extend the R18 ATG scheduling restriction to all the intra-band and inter-band serving cells.</w:t>
      </w:r>
    </w:p>
    <w:p>
      <w:pPr>
        <w:pStyle w:val="9"/>
        <w:numPr>
          <w:ilvl w:val="0"/>
          <w:numId w:val="7"/>
        </w:numPr>
        <w:bidi w:val="0"/>
        <w:ind w:left="420" w:leftChars="0" w:hanging="420" w:firstLineChars="0"/>
        <w:rPr>
          <w:rFonts w:hint="default"/>
          <w:b/>
          <w:bCs/>
          <w:lang w:val="en-US" w:eastAsia="zh-CN"/>
        </w:rPr>
      </w:pPr>
      <w:r>
        <w:rPr>
          <w:rFonts w:hint="eastAsia"/>
          <w:b/>
          <w:bCs/>
          <w:lang w:val="en-US" w:eastAsia="zh-CN"/>
        </w:rPr>
        <w:t>For Case 5, extend the R18 ATG scheduling restriction to all the intra-band serving cell. No scheduling restriction across bands.</w:t>
      </w:r>
    </w:p>
    <w:p>
      <w:pPr>
        <w:pStyle w:val="9"/>
        <w:bidi w:val="0"/>
        <w:rPr>
          <w:rFonts w:hint="default"/>
          <w:b/>
          <w:bCs/>
          <w:lang w:val="en-US" w:eastAsia="zh-CN"/>
        </w:rPr>
      </w:pPr>
      <w:r>
        <w:rPr>
          <w:rFonts w:hint="eastAsia"/>
          <w:b/>
          <w:bCs/>
          <w:lang w:val="en-US" w:eastAsia="zh-CN"/>
        </w:rPr>
        <w:t>Proposal 9: Reuse legacy simultaneous DCI/RRC/timer based active BWP switching requirements.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0" w:name="_Ref98775365"/>
      <w:r>
        <w:rPr>
          <w:rFonts w:hint="eastAsia"/>
          <w:color w:val="auto"/>
          <w:sz w:val="20"/>
          <w:szCs w:val="20"/>
          <w:highlight w:val="none"/>
          <w:lang w:val="en-US" w:eastAsia="zh-CN"/>
        </w:rPr>
        <w:t>RP-240839, New WID: New WID on Enhancements for Air-to-ground network for NR, 3GPP TSG RAN Meeting #10</w:t>
      </w:r>
      <w:bookmarkEnd w:id="0"/>
      <w:r>
        <w:rPr>
          <w:rFonts w:hint="eastAsia"/>
          <w:color w:val="auto"/>
          <w:sz w:val="20"/>
          <w:szCs w:val="20"/>
          <w:highlight w:val="none"/>
          <w:lang w:val="en-US" w:eastAsia="zh-CN"/>
        </w:rPr>
        <w:t>3.</w:t>
      </w:r>
    </w:p>
    <w:p>
      <w:pPr>
        <w:pStyle w:val="10"/>
        <w:numPr>
          <w:ilvl w:val="0"/>
          <w:numId w:val="9"/>
        </w:numPr>
        <w:ind w:leftChars="0"/>
        <w:rPr>
          <w:rFonts w:hint="eastAsia"/>
          <w:color w:val="auto"/>
          <w:sz w:val="20"/>
          <w:szCs w:val="20"/>
          <w:highlight w:val="none"/>
          <w:lang w:val="en-US" w:eastAsia="zh-CN"/>
        </w:rPr>
      </w:pPr>
      <w:r>
        <w:rPr>
          <w:rFonts w:hint="eastAsia" w:cs="Arial"/>
          <w:sz w:val="22"/>
          <w:lang w:val="en-US" w:eastAsia="zh-CN"/>
        </w:rPr>
        <w:t xml:space="preserve">R4-2416852, </w:t>
      </w:r>
      <w:r>
        <w:rPr>
          <w:rFonts w:hint="eastAsia" w:ascii="Arial" w:hAnsi="Arial" w:cs="Arial"/>
          <w:sz w:val="22"/>
          <w:lang w:val="en-US" w:eastAsia="zh-CN"/>
        </w:rPr>
        <w:t>WF on RRM requirements for [112bis][208] NR_ATG_enh</w:t>
      </w:r>
      <w:r>
        <w:rPr>
          <w:rFonts w:hint="eastAsia" w:cs="Arial"/>
          <w:sz w:val="22"/>
          <w:lang w:val="en-US" w:eastAsia="zh-CN"/>
        </w:rPr>
        <w:t>, CMCC, RAN4#112bis.</w:t>
      </w:r>
    </w:p>
    <w:p>
      <w:pPr>
        <w:pStyle w:val="10"/>
        <w:numPr>
          <w:ilvl w:val="0"/>
          <w:numId w:val="9"/>
        </w:numPr>
        <w:ind w:leftChars="0"/>
        <w:rPr>
          <w:rFonts w:hint="eastAsia"/>
          <w:color w:val="auto"/>
          <w:sz w:val="20"/>
          <w:szCs w:val="20"/>
          <w:highlight w:val="none"/>
          <w:lang w:val="en-US" w:eastAsia="zh-CN"/>
        </w:rPr>
      </w:pPr>
      <w:r>
        <w:rPr>
          <w:rFonts w:hint="eastAsia"/>
          <w:color w:val="auto"/>
          <w:sz w:val="20"/>
          <w:szCs w:val="20"/>
          <w:highlight w:val="none"/>
          <w:lang w:val="en-US" w:eastAsia="zh-CN"/>
        </w:rPr>
        <w:t>TS38.133_i70.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E2C52758"/>
    <w:multiLevelType w:val="singleLevel"/>
    <w:tmpl w:val="E2C52758"/>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C66C4DC"/>
    <w:multiLevelType w:val="singleLevel"/>
    <w:tmpl w:val="1C66C4DC"/>
    <w:lvl w:ilvl="0" w:tentative="0">
      <w:start w:val="1"/>
      <w:numFmt w:val="bullet"/>
      <w:lvlText w:val=""/>
      <w:lvlJc w:val="left"/>
      <w:pPr>
        <w:ind w:left="420" w:hanging="420"/>
      </w:pPr>
      <w:rPr>
        <w:rFonts w:hint="default" w:ascii="Wingdings" w:hAnsi="Wingdings"/>
      </w:rPr>
    </w:lvl>
  </w:abstractNum>
  <w:abstractNum w:abstractNumId="4">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8">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6"/>
  </w:num>
  <w:num w:numId="3">
    <w:abstractNumId w:val="5"/>
  </w:num>
  <w:num w:numId="4">
    <w:abstractNumId w:val="2"/>
  </w:num>
  <w:num w:numId="5">
    <w:abstractNumId w:val="4"/>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730BE"/>
    <w:rsid w:val="0B993DEF"/>
    <w:rsid w:val="0BAF5541"/>
    <w:rsid w:val="0BB0429A"/>
    <w:rsid w:val="0BB97253"/>
    <w:rsid w:val="0BDE36C2"/>
    <w:rsid w:val="0BE1300C"/>
    <w:rsid w:val="0BFF5FC6"/>
    <w:rsid w:val="0C265CE3"/>
    <w:rsid w:val="0C394019"/>
    <w:rsid w:val="0C491F24"/>
    <w:rsid w:val="0C5D35AC"/>
    <w:rsid w:val="0C636AE4"/>
    <w:rsid w:val="0C6D1703"/>
    <w:rsid w:val="0C79371B"/>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DED523C"/>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B863AE"/>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D5B2A"/>
    <w:rsid w:val="113E3112"/>
    <w:rsid w:val="11425846"/>
    <w:rsid w:val="1146775F"/>
    <w:rsid w:val="114A72FE"/>
    <w:rsid w:val="11543C70"/>
    <w:rsid w:val="11550B08"/>
    <w:rsid w:val="115C67A8"/>
    <w:rsid w:val="115D7DA8"/>
    <w:rsid w:val="116D0CDE"/>
    <w:rsid w:val="11756827"/>
    <w:rsid w:val="11944FFE"/>
    <w:rsid w:val="11951496"/>
    <w:rsid w:val="11972CBA"/>
    <w:rsid w:val="11A41805"/>
    <w:rsid w:val="11A819B4"/>
    <w:rsid w:val="11E12192"/>
    <w:rsid w:val="11E64E15"/>
    <w:rsid w:val="11E67EFD"/>
    <w:rsid w:val="11E70C39"/>
    <w:rsid w:val="11F02E4D"/>
    <w:rsid w:val="11F21955"/>
    <w:rsid w:val="120774A3"/>
    <w:rsid w:val="12282E47"/>
    <w:rsid w:val="122F64A8"/>
    <w:rsid w:val="12485D96"/>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0436D7"/>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E62FE2"/>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D2AD7"/>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3379"/>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6E2049"/>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C546A"/>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0B6B59"/>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EA4A6F"/>
    <w:rsid w:val="38F2407A"/>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35070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89705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BEF7421"/>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E9355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33640"/>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D760D0"/>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BC42DD"/>
    <w:rsid w:val="5CC75878"/>
    <w:rsid w:val="5CDD02C3"/>
    <w:rsid w:val="5CDF0826"/>
    <w:rsid w:val="5CEA2BC1"/>
    <w:rsid w:val="5CF74B37"/>
    <w:rsid w:val="5CF83B05"/>
    <w:rsid w:val="5D035192"/>
    <w:rsid w:val="5D070F7D"/>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3E699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6E2AE3"/>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C739E"/>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75E47"/>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60B4B"/>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C94015"/>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5447B"/>
    <w:rsid w:val="7D8D32FC"/>
    <w:rsid w:val="7D991C50"/>
    <w:rsid w:val="7DA76CFA"/>
    <w:rsid w:val="7DAD04AF"/>
    <w:rsid w:val="7DC43066"/>
    <w:rsid w:val="7DCC55DA"/>
    <w:rsid w:val="7DDA520A"/>
    <w:rsid w:val="7DDD0501"/>
    <w:rsid w:val="7DE234DC"/>
    <w:rsid w:val="7DE51372"/>
    <w:rsid w:val="7E075D2D"/>
    <w:rsid w:val="7E085776"/>
    <w:rsid w:val="7E0D3F64"/>
    <w:rsid w:val="7E0F3A80"/>
    <w:rsid w:val="7E1C120B"/>
    <w:rsid w:val="7E1F6540"/>
    <w:rsid w:val="7E4648AA"/>
    <w:rsid w:val="7E480ACC"/>
    <w:rsid w:val="7E535653"/>
    <w:rsid w:val="7E5E590F"/>
    <w:rsid w:val="7E601250"/>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2024-11-08T14:06:04Z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